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Explaining causes of conflict / LAUNCH_S1_W01</w:t>
      </w:r>
    </w:p>
    <w:p>
      <w:r>
        <w:t>Outcome: Explain the causes of a twentieth century conflict.</w:t>
      </w:r>
    </w:p>
    <w:p>
      <w:r>
        <w:t>Evidence to retain: F: book task, questioning and two exit questions.</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Explain the content before starting. Offer a planned break and a factual written route. Never simulate persecution. Teacher previews any external archive page or video. The supplied four-word excerpt and paraphrase provide a non-graphic written route. The external page also contains family-loss context; preview it before projecting. Do not invent a recording date if the item page does not state one.</w:t>
      </w:r>
    </w:p>
    <w:p>
      <w:pPr>
        <w:pStyle w:val="Heading2"/>
      </w:pPr>
      <w:r>
        <w:t>Access and regulation</w:t>
      </w:r>
    </w:p>
    <w:p>
      <w:r>
        <w:t>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Offer a predictable start, private response and agreed pause. No cold calling or forced personal disclosure. Rejoin at one clearly named next step. Keep teen-appropriate examples and the same learning goal across response modes.</w:t>
      </w:r>
    </w:p>
    <w:p>
      <w:r>
        <w:t>Use sensitive content warnings where relevant. Do not ask for family details or personal experiences.</w:t>
      </w:r>
    </w:p>
    <w:p>
      <w:pPr>
        <w:pStyle w:val="Heading2"/>
      </w:pPr>
      <w:r>
        <w:t>Assessment</w:t>
      </w:r>
    </w:p>
    <w:p>
      <w:r>
        <w:t>Use questioning and the exit response to decide the next step. Record the learner’s individual contribution and the access support used.</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What was the immediate trigger for British and French declarations?</w:t>
      </w:r>
    </w:p>
    <w:p>
      <w:r>
        <w:t>Evidence: A Europe in 1939: Nazi Germany’s expansion and invasion of Poland on 1 September 1939 led Britain and France to declare war on 3 September. Longer-term conditions and leaders’ choices help explain the conflict.</w:t>
      </w:r>
    </w:p>
    <w:p>
      <w:r>
        <w:t>Think aloud: Germany’s invasion of Poland on 1 September 1939.</w:t>
      </w:r>
    </w:p>
    <w:p>
      <w:r>
        <w:t>Check: Does identifying a trigger explain every cause? No. Longer-term conditions and choices also require explanation.</w:t>
      </w:r>
    </w:p>
    <w:p>
      <w:pPr>
        <w:pStyle w:val="Heading2"/>
      </w:pPr>
      <w:r>
        <w:t>Arrival answers</w:t>
      </w:r>
    </w:p>
    <w:p>
      <w:r>
        <w:t>1. A serious struggle including war</w:t>
      </w:r>
    </w:p>
    <w:p>
      <w:r>
        <w:t>2. A serious struggle including war</w:t>
      </w:r>
    </w:p>
    <w:p>
      <w:r>
        <w:t>3. Germany’s invasion of Poland on 1 September 1939.</w:t>
      </w:r>
    </w:p>
    <w:p>
      <w:r>
        <w:t>4. No. Longer-term conditions and choices also require explanation.</w:t>
      </w:r>
    </w:p>
    <w:p>
      <w:pPr>
        <w:pStyle w:val="Heading2"/>
      </w:pPr>
      <w:r>
        <w:t>Shared activity reasoning</w:t>
      </w:r>
    </w:p>
    <w:p>
      <w:r>
        <w:t>1. Expansionist aims — Longer-term factor. These help explain repeated territorial demands.</w:t>
      </w:r>
    </w:p>
    <w:p>
      <w:r>
        <w:t>2. Invasion of Poland — Immediate trigger. This preceded the declarations of war.</w:t>
      </w:r>
    </w:p>
    <w:p>
      <w:r>
        <w:t>3. British and French declarations — Consequence. These followed on 3 September 1939.</w:t>
      </w:r>
    </w:p>
    <w:p>
      <w:pPr>
        <w:pStyle w:val="Heading2"/>
      </w:pPr>
      <w:r>
        <w:t>Exit responses</w:t>
      </w:r>
    </w:p>
    <w:p>
      <w:r>
        <w:t>What was the immediate trigger for British and French declarations? Germany’s invasion of Poland on 1 September 1939.</w:t>
      </w:r>
    </w:p>
    <w:p>
      <w:r>
        <w:t>Does identifying a trigger explain every cause? No. Longer-term conditions and choices also require explanation.</w:t>
      </w:r>
    </w:p>
    <w:p>
      <w:r>
        <w:br w:type="page"/>
      </w:r>
    </w:p>
    <w:p>
      <w:pPr>
        <w:pStyle w:val="Title"/>
      </w:pPr>
      <w:r>
        <w:t>Teaching and evidence record</w:t>
      </w:r>
    </w:p>
    <w:p>
      <w:r>
        <w:t>Supplied scheme of work teaching sequence: Model a causal explanation with a short source set; guide sorting of factors; independently explain supported links.</w:t>
      </w:r>
    </w:p>
    <w:p>
      <w:pPr>
        <w:pStyle w:val="Heading2"/>
      </w:pPr>
      <w:r>
        <w:t>Look for</w:t>
      </w:r>
    </w:p>
    <w:p>
      <w:r>
        <w:t>F: book task, questioning and two exit questions.</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United States Holocaust Memorial Museum introduction https://encyclopedia.ushmm.org/content/en/article/introduction-to-the-holocaust</w:t>
      </w:r>
    </w:p>
    <w:p>
      <w:r>
        <w:t>Gerda Haas prewar community testimony https://encyclopedia.ushmm.org/content/en/oral-history/gerda-haas-describes-prewar-jewish-community-life-in-ansbach</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LAUNCH_S1_W01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Humanities    Spring 1    W1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Explaining causes of conflict</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