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Teacher and cover planner</w:t>
      </w:r>
    </w:p>
    <w:p>
      <w:r>
        <w:rPr>
          <w:b/>
        </w:rPr>
        <w:t>Help that gets heard</w:t>
      </w:r>
    </w:p>
    <w:p>
      <w:r>
        <w:rPr>
          <w:b w:val="0"/>
        </w:rPr>
        <w:t>Monday 7–Friday 11 December 2026 · one 40-minute lesson</w:t>
      </w:r>
    </w:p>
    <w:p>
      <w:r>
        <w:rPr>
          <w:b w:val="0"/>
        </w:rPr>
        <w:t>Teaching date: __________________   Teacher: __________________</w:t>
      </w:r>
    </w:p>
    <w:p>
      <w:pPr>
        <w:pStyle w:val="Heading1"/>
      </w:pPr>
      <w:r>
        <w:rPr>
          <w:b w:val="0"/>
        </w:rPr>
        <w:t>Exact scheme cells</w:t>
      </w:r>
    </w:p>
    <w:p>
      <w:r>
        <w:rPr>
          <w:b w:val="0"/>
        </w:rPr>
        <w:t>GROW Weekly - Autumn!C86</w:t>
        <w:br/>
        <w:t>Practise help-seeking through scenarios.</w:t>
      </w:r>
    </w:p>
    <w:p>
      <w:r>
        <w:rPr>
          <w:b w:val="0"/>
        </w:rPr>
        <w:t>GROW - Autumn!D13</w:t>
        <w:br/>
        <w:t>Keeping safe, healthy &amp; well</w:t>
      </w:r>
    </w:p>
    <w:p>
      <w:r>
        <w:rPr>
          <w:b w:val="0"/>
        </w:rPr>
        <w:t>GROW - Autumn!I13</w:t>
        <w:br/>
        <w:t>PSHE Association programme of study; [AWARD] [QUAL], '[QUAL]', '[QUAL]'.</w:t>
      </w:r>
    </w:p>
    <w:p>
      <w:r>
        <w:rPr>
          <w:b w:val="0"/>
        </w:rPr>
        <w:t>GROW - Autumn!J13</w:t>
        <w:br/>
        <w:t>F: scenario sorting.  S: 'my trusted network' + safe/unsafe task (Dec).</w:t>
      </w:r>
    </w:p>
    <w:p>
      <w:r>
        <w:rPr>
          <w:b w:val="0"/>
        </w:rPr>
        <w:t>The source assessment is retained. This lesson contributes evidence; it does not by itself complete an award. Public award labels are masked only.</w:t>
      </w:r>
    </w:p>
    <w:p>
      <w:pPr>
        <w:pStyle w:val="Heading1"/>
      </w:pPr>
      <w:r>
        <w:rPr>
          <w:b w:val="0"/>
        </w:rPr>
        <w:t>Purpose and success checks</w:t>
      </w:r>
    </w:p>
    <w:p>
      <w:r>
        <w:rPr>
          <w:b w:val="0"/>
        </w:rPr>
        <w:t>How can I make a clear request and check the reply?</w:t>
      </w:r>
    </w:p>
    <w:p>
      <w:r>
        <w:rPr>
          <w:b w:val="0"/>
        </w:rPr>
        <w:t>I can choose who, how and when to ask. I can practise a clear help request. I can check the reply or use a backup.</w:t>
      </w:r>
    </w:p>
    <w:p>
      <w:r>
        <w:rPr>
          <w:b w:val="0"/>
        </w:rPr>
        <w:t>GROW-PSHE-W6-E1: A scenario-based help request, actual classroom adult reply, clarification or backup, and the learner’s next step with mode/support recorded.</w:t>
      </w:r>
    </w:p>
    <w:p>
      <w:pPr>
        <w:pStyle w:val="Heading1"/>
      </w:pPr>
      <w:r>
        <w:rPr>
          <w:b w:val="0"/>
        </w:rPr>
        <w:t>Before pupils arrive</w:t>
      </w:r>
    </w:p>
    <w:p>
      <w:r>
        <w:rPr>
          <w:b w:val="0"/>
        </w:rPr>
        <w:t>Identify available staff and backup support. Print scenario cards and a help card. Provide pens and usual AAC; agree a private-talk route.</w:t>
      </w:r>
    </w:p>
    <w:p>
      <w:r>
        <w:rPr>
          <w:b w:val="0"/>
        </w:rPr>
        <w:t>Offer processing time, a quiet start and the usual communication support. Capture each learner’s own work. Read the Staff Answers before teaching.</w:t>
      </w:r>
    </w:p>
    <w:p>
      <w:pPr>
        <w:pStyle w:val="Heading1"/>
      </w:pPr>
      <w:r>
        <w:rPr>
          <w:b w:val="0"/>
        </w:rPr>
        <w:t>Calendar and continuity</w:t>
      </w:r>
    </w:p>
    <w:p>
      <w:r>
        <w:rPr>
          <w:b w:val="0"/>
        </w:rPr>
        <w:t>Monday 7–Friday 11 December 2026. One lesson per week on this line. No teaching day or clock slot is inferred.</w:t>
      </w:r>
    </w:p>
    <w:p>
      <w:r>
        <w:rPr>
          <w:b w:val="0"/>
        </w:rPr>
        <w:t>Staff enter the actual teaching date above. Continue the accepted prior-week evidence and support routines.</w:t>
      </w:r>
    </w:p>
    <w:p>
      <w:r>
        <w:br w:type="page"/>
      </w:r>
    </w:p>
    <w:p>
      <w:pPr>
        <w:pStyle w:val="Heading1"/>
      </w:pPr>
      <w:r>
        <w:rPr>
          <w:b w:val="0"/>
        </w:rPr>
        <w:t>Forty minute sequence</w:t>
      </w:r>
    </w:p>
    <w:tbl>
      <w:tblPr>
        <w:tblStyle w:val="TableGrid"/>
        <w:tblW w:type="auto" w:w="0"/>
        <w:tblLayout w:type="fixed"/>
        <w:tblLook w:firstColumn="1" w:firstRow="1" w:lastColumn="0" w:lastRow="0" w:noHBand="0" w:noVBand="1" w:val="04A0"/>
      </w:tblPr>
      <w:tblGrid>
        <w:gridCol w:w="936"/>
        <w:gridCol w:w="648"/>
        <w:gridCol w:w="8352"/>
      </w:tblGrid>
      <w:tr>
        <w:trPr>
          <w:tblHeader/>
          <w:cantSplit/>
        </w:trPr>
        <w:tc>
          <w:tcPr>
            <w:tcW w:type="dxa" w:w="936"/>
          </w:tcPr>
          <w:p>
            <w:pPr>
              <w:spacing w:after="80" w:before="60"/>
            </w:pPr>
            <w:r>
              <w:rPr>
                <w:b/>
                <w:sz w:val="20"/>
              </w:rPr>
              <w:t>Slide</w:t>
            </w:r>
          </w:p>
        </w:tc>
        <w:tc>
          <w:tcPr>
            <w:tcW w:type="dxa" w:w="648"/>
          </w:tcPr>
          <w:p>
            <w:pPr>
              <w:spacing w:after="80" w:before="60"/>
            </w:pPr>
            <w:r>
              <w:rPr>
                <w:b/>
                <w:sz w:val="20"/>
              </w:rPr>
              <w:t>Min</w:t>
            </w:r>
          </w:p>
        </w:tc>
        <w:tc>
          <w:tcPr>
            <w:tcW w:type="dxa" w:w="8352"/>
          </w:tcPr>
          <w:p>
            <w:pPr>
              <w:spacing w:after="80" w:before="60"/>
            </w:pPr>
            <w:r>
              <w:rPr>
                <w:b/>
                <w:sz w:val="20"/>
              </w:rPr>
              <w:t>Action</w:t>
            </w:r>
          </w:p>
        </w:tc>
      </w:tr>
      <w:tr>
        <w:trPr>
          <w:cantSplit/>
        </w:trPr>
        <w:tc>
          <w:tcPr>
            <w:tcW w:type="dxa" w:w="936"/>
          </w:tcPr>
          <w:p>
            <w:pPr>
              <w:spacing w:after="80" w:before="60"/>
            </w:pPr>
            <w:r>
              <w:rPr>
                <w:b w:val="0"/>
                <w:sz w:val="20"/>
              </w:rPr>
              <w:t>1</w:t>
            </w:r>
          </w:p>
        </w:tc>
        <w:tc>
          <w:tcPr>
            <w:tcW w:type="dxa" w:w="648"/>
          </w:tcPr>
          <w:p>
            <w:pPr>
              <w:spacing w:after="80" w:before="60"/>
            </w:pPr>
            <w:r>
              <w:rPr>
                <w:b w:val="0"/>
                <w:sz w:val="20"/>
              </w:rPr>
              <w:t>0</w:t>
            </w:r>
          </w:p>
        </w:tc>
        <w:tc>
          <w:tcPr>
            <w:tcW w:type="dxa" w:w="8352"/>
          </w:tcPr>
          <w:p>
            <w:pPr>
              <w:spacing w:after="80" w:before="60"/>
            </w:pPr>
            <w:r>
              <w:rPr>
                <w:b w:val="0"/>
                <w:sz w:val="20"/>
              </w:rPr>
              <w:t>Open title and big question before timing.</w:t>
            </w:r>
          </w:p>
        </w:tc>
      </w:tr>
      <w:tr>
        <w:trPr>
          <w:cantSplit/>
        </w:trPr>
        <w:tc>
          <w:tcPr>
            <w:tcW w:type="dxa" w:w="936"/>
          </w:tcPr>
          <w:p>
            <w:pPr>
              <w:spacing w:after="80" w:before="60"/>
            </w:pPr>
            <w:r>
              <w:rPr>
                <w:b w:val="0"/>
                <w:sz w:val="20"/>
              </w:rPr>
              <w:t>2</w:t>
            </w:r>
          </w:p>
        </w:tc>
        <w:tc>
          <w:tcPr>
            <w:tcW w:type="dxa" w:w="648"/>
          </w:tcPr>
          <w:p>
            <w:pPr>
              <w:spacing w:after="80" w:before="60"/>
            </w:pPr>
            <w:r>
              <w:rPr>
                <w:b w:val="0"/>
                <w:sz w:val="20"/>
              </w:rPr>
              <w:t>4</w:t>
            </w:r>
          </w:p>
        </w:tc>
        <w:tc>
          <w:tcPr>
            <w:tcW w:type="dxa" w:w="8352"/>
          </w:tcPr>
          <w:p>
            <w:pPr>
              <w:spacing w:after="80" w:before="60"/>
            </w:pPr>
            <w:r>
              <w:rPr>
                <w:b w:val="0"/>
                <w:sz w:val="20"/>
              </w:rPr>
              <w:t>Private check-in, quiet start and support choice.</w:t>
            </w:r>
          </w:p>
        </w:tc>
      </w:tr>
      <w:tr>
        <w:trPr>
          <w:cantSplit/>
        </w:trPr>
        <w:tc>
          <w:tcPr>
            <w:tcW w:type="dxa" w:w="936"/>
          </w:tcPr>
          <w:p>
            <w:pPr>
              <w:spacing w:after="80" w:before="60"/>
            </w:pPr>
            <w:r>
              <w:rPr>
                <w:b w:val="0"/>
                <w:sz w:val="20"/>
              </w:rPr>
              <w:t>3</w:t>
            </w:r>
          </w:p>
        </w:tc>
        <w:tc>
          <w:tcPr>
            <w:tcW w:type="dxa" w:w="648"/>
          </w:tcPr>
          <w:p>
            <w:pPr>
              <w:spacing w:after="80" w:before="60"/>
            </w:pPr>
            <w:r>
              <w:rPr>
                <w:b w:val="0"/>
                <w:sz w:val="20"/>
              </w:rPr>
              <w:t>2</w:t>
            </w:r>
          </w:p>
        </w:tc>
        <w:tc>
          <w:tcPr>
            <w:tcW w:type="dxa" w:w="8352"/>
          </w:tcPr>
          <w:p>
            <w:pPr>
              <w:spacing w:after="80" w:before="60"/>
            </w:pPr>
            <w:r>
              <w:rPr>
                <w:b w:val="0"/>
                <w:sz w:val="20"/>
              </w:rPr>
              <w:t>Read the diagram; hear one clue or question.</w:t>
            </w:r>
          </w:p>
        </w:tc>
      </w:tr>
      <w:tr>
        <w:trPr>
          <w:cantSplit/>
        </w:trPr>
        <w:tc>
          <w:tcPr>
            <w:tcW w:type="dxa" w:w="936"/>
          </w:tcPr>
          <w:p>
            <w:pPr>
              <w:spacing w:after="80" w:before="60"/>
            </w:pPr>
            <w:r>
              <w:rPr>
                <w:b w:val="0"/>
                <w:sz w:val="20"/>
              </w:rPr>
              <w:t>4</w:t>
            </w:r>
          </w:p>
        </w:tc>
        <w:tc>
          <w:tcPr>
            <w:tcW w:type="dxa" w:w="648"/>
          </w:tcPr>
          <w:p>
            <w:pPr>
              <w:spacing w:after="80" w:before="60"/>
            </w:pPr>
            <w:r>
              <w:rPr>
                <w:b w:val="0"/>
                <w:sz w:val="20"/>
              </w:rPr>
              <w:t>0</w:t>
            </w:r>
          </w:p>
        </w:tc>
        <w:tc>
          <w:tcPr>
            <w:tcW w:type="dxa" w:w="8352"/>
          </w:tcPr>
          <w:p>
            <w:pPr>
              <w:spacing w:after="80" w:before="60"/>
            </w:pPr>
            <w:r>
              <w:rPr>
                <w:b w:val="0"/>
                <w:sz w:val="20"/>
              </w:rPr>
              <w:t>Read the exact objective and success checks.</w:t>
            </w:r>
          </w:p>
        </w:tc>
      </w:tr>
      <w:tr>
        <w:trPr>
          <w:cantSplit/>
        </w:trPr>
        <w:tc>
          <w:tcPr>
            <w:tcW w:type="dxa" w:w="936"/>
          </w:tcPr>
          <w:p>
            <w:pPr>
              <w:spacing w:after="80" w:before="60"/>
            </w:pPr>
            <w:r>
              <w:rPr>
                <w:b w:val="0"/>
                <w:sz w:val="20"/>
              </w:rPr>
              <w:t>5</w:t>
            </w:r>
          </w:p>
        </w:tc>
        <w:tc>
          <w:tcPr>
            <w:tcW w:type="dxa" w:w="648"/>
          </w:tcPr>
          <w:p>
            <w:pPr>
              <w:spacing w:after="80" w:before="60"/>
            </w:pPr>
            <w:r>
              <w:rPr>
                <w:b w:val="0"/>
                <w:sz w:val="20"/>
              </w:rPr>
              <w:t>5</w:t>
            </w:r>
          </w:p>
        </w:tc>
        <w:tc>
          <w:tcPr>
            <w:tcW w:type="dxa" w:w="8352"/>
          </w:tcPr>
          <w:p>
            <w:pPr>
              <w:spacing w:after="80" w:before="60"/>
            </w:pPr>
            <w:r>
              <w:rPr>
                <w:b w:val="0"/>
                <w:sz w:val="20"/>
              </w:rPr>
              <w:t>Model the six lines; explain the reason for each.</w:t>
            </w:r>
          </w:p>
        </w:tc>
      </w:tr>
      <w:tr>
        <w:trPr>
          <w:cantSplit/>
        </w:trPr>
        <w:tc>
          <w:tcPr>
            <w:tcW w:type="dxa" w:w="936"/>
          </w:tcPr>
          <w:p>
            <w:pPr>
              <w:spacing w:after="80" w:before="60"/>
            </w:pPr>
            <w:r>
              <w:rPr>
                <w:b w:val="0"/>
                <w:sz w:val="20"/>
              </w:rPr>
              <w:t>6</w:t>
            </w:r>
          </w:p>
        </w:tc>
        <w:tc>
          <w:tcPr>
            <w:tcW w:type="dxa" w:w="648"/>
          </w:tcPr>
          <w:p>
            <w:pPr>
              <w:spacing w:after="80" w:before="60"/>
            </w:pPr>
            <w:r>
              <w:rPr>
                <w:b w:val="0"/>
                <w:sz w:val="20"/>
              </w:rPr>
              <w:t>5</w:t>
            </w:r>
          </w:p>
        </w:tc>
        <w:tc>
          <w:tcPr>
            <w:tcW w:type="dxa" w:w="8352"/>
          </w:tcPr>
          <w:p>
            <w:pPr>
              <w:spacing w:after="80" w:before="60"/>
            </w:pPr>
            <w:r>
              <w:rPr>
                <w:b w:val="0"/>
                <w:sz w:val="20"/>
              </w:rPr>
              <w:t>Ask for a hinge answer and reason; reteach if needed.</w:t>
            </w:r>
          </w:p>
        </w:tc>
      </w:tr>
      <w:tr>
        <w:trPr>
          <w:cantSplit/>
        </w:trPr>
        <w:tc>
          <w:tcPr>
            <w:tcW w:type="dxa" w:w="936"/>
          </w:tcPr>
          <w:p>
            <w:pPr>
              <w:spacing w:after="80" w:before="60"/>
            </w:pPr>
            <w:r>
              <w:rPr>
                <w:b w:val="0"/>
                <w:sz w:val="20"/>
              </w:rPr>
              <w:t>7</w:t>
            </w:r>
          </w:p>
        </w:tc>
        <w:tc>
          <w:tcPr>
            <w:tcW w:type="dxa" w:w="648"/>
          </w:tcPr>
          <w:p>
            <w:pPr>
              <w:spacing w:after="80" w:before="60"/>
            </w:pPr>
            <w:r>
              <w:rPr>
                <w:b w:val="0"/>
                <w:sz w:val="20"/>
              </w:rPr>
              <w:t>12</w:t>
            </w:r>
          </w:p>
        </w:tc>
        <w:tc>
          <w:tcPr>
            <w:tcW w:type="dxa" w:w="8352"/>
          </w:tcPr>
          <w:p>
            <w:pPr>
              <w:spacing w:after="80" w:before="60"/>
            </w:pPr>
            <w:r>
              <w:rPr>
                <w:b w:val="0"/>
                <w:sz w:val="20"/>
              </w:rPr>
              <w:t>Use the six cards and the Supported/Independent/Aspire routes.</w:t>
            </w:r>
          </w:p>
        </w:tc>
      </w:tr>
      <w:tr>
        <w:trPr>
          <w:cantSplit/>
        </w:trPr>
        <w:tc>
          <w:tcPr>
            <w:tcW w:type="dxa" w:w="936"/>
          </w:tcPr>
          <w:p>
            <w:pPr>
              <w:spacing w:after="80" w:before="60"/>
            </w:pPr>
            <w:r>
              <w:rPr>
                <w:b w:val="0"/>
                <w:sz w:val="20"/>
              </w:rPr>
              <w:t>8</w:t>
            </w:r>
          </w:p>
        </w:tc>
        <w:tc>
          <w:tcPr>
            <w:tcW w:type="dxa" w:w="648"/>
          </w:tcPr>
          <w:p>
            <w:pPr>
              <w:spacing w:after="80" w:before="60"/>
            </w:pPr>
            <w:r>
              <w:rPr>
                <w:b w:val="0"/>
                <w:sz w:val="20"/>
              </w:rPr>
              <w:t>6</w:t>
            </w:r>
          </w:p>
        </w:tc>
        <w:tc>
          <w:tcPr>
            <w:tcW w:type="dxa" w:w="8352"/>
          </w:tcPr>
          <w:p>
            <w:pPr>
              <w:spacing w:after="80" w:before="60"/>
            </w:pPr>
            <w:r>
              <w:rPr>
                <w:b w:val="0"/>
                <w:sz w:val="20"/>
              </w:rPr>
              <w:t>Complete the individual two-page evidence record.</w:t>
            </w:r>
          </w:p>
        </w:tc>
      </w:tr>
      <w:tr>
        <w:trPr>
          <w:cantSplit/>
        </w:trPr>
        <w:tc>
          <w:tcPr>
            <w:tcW w:type="dxa" w:w="936"/>
          </w:tcPr>
          <w:p>
            <w:pPr>
              <w:spacing w:after="80" w:before="60"/>
            </w:pPr>
            <w:r>
              <w:rPr>
                <w:b w:val="0"/>
                <w:sz w:val="20"/>
              </w:rPr>
              <w:t>9</w:t>
            </w:r>
          </w:p>
        </w:tc>
        <w:tc>
          <w:tcPr>
            <w:tcW w:type="dxa" w:w="648"/>
          </w:tcPr>
          <w:p>
            <w:pPr>
              <w:spacing w:after="80" w:before="60"/>
            </w:pPr>
            <w:r>
              <w:rPr>
                <w:b w:val="0"/>
                <w:sz w:val="20"/>
              </w:rPr>
              <w:t>4</w:t>
            </w:r>
          </w:p>
        </w:tc>
        <w:tc>
          <w:tcPr>
            <w:tcW w:type="dxa" w:w="8352"/>
          </w:tcPr>
          <w:p>
            <w:pPr>
              <w:spacing w:after="80" w:before="60"/>
            </w:pPr>
            <w:r>
              <w:rPr>
                <w:b w:val="0"/>
                <w:sz w:val="20"/>
              </w:rPr>
              <w:t>Check ownership, support, response and next step.</w:t>
            </w:r>
          </w:p>
        </w:tc>
      </w:tr>
      <w:tr>
        <w:trPr>
          <w:cantSplit/>
        </w:trPr>
        <w:tc>
          <w:tcPr>
            <w:tcW w:type="dxa" w:w="936"/>
          </w:tcPr>
          <w:p>
            <w:pPr>
              <w:spacing w:after="80" w:before="60"/>
            </w:pPr>
            <w:r>
              <w:rPr>
                <w:b w:val="0"/>
                <w:sz w:val="20"/>
              </w:rPr>
              <w:t>10</w:t>
            </w:r>
          </w:p>
        </w:tc>
        <w:tc>
          <w:tcPr>
            <w:tcW w:type="dxa" w:w="648"/>
          </w:tcPr>
          <w:p>
            <w:pPr>
              <w:spacing w:after="80" w:before="60"/>
            </w:pPr>
            <w:r>
              <w:rPr>
                <w:b w:val="0"/>
                <w:sz w:val="20"/>
              </w:rPr>
              <w:t>2</w:t>
            </w:r>
          </w:p>
        </w:tc>
        <w:tc>
          <w:tcPr>
            <w:tcW w:type="dxa" w:w="8352"/>
          </w:tcPr>
          <w:p>
            <w:pPr>
              <w:spacing w:after="80" w:before="60"/>
            </w:pPr>
            <w:r>
              <w:rPr>
                <w:b w:val="0"/>
                <w:sz w:val="20"/>
              </w:rPr>
              <w:t>Take a short quiet exit response.</w:t>
            </w:r>
          </w:p>
        </w:tc>
      </w:tr>
      <w:tr>
        <w:trPr>
          <w:cantSplit/>
        </w:trPr>
        <w:tc>
          <w:tcPr>
            <w:tcW w:type="dxa" w:w="936"/>
          </w:tcPr>
          <w:p>
            <w:pPr>
              <w:spacing w:after="80" w:before="60"/>
            </w:pPr>
            <w:r>
              <w:rPr>
                <w:b w:val="0"/>
                <w:sz w:val="20"/>
              </w:rPr>
              <w:t>11</w:t>
            </w:r>
          </w:p>
        </w:tc>
        <w:tc>
          <w:tcPr>
            <w:tcW w:type="dxa" w:w="648"/>
          </w:tcPr>
          <w:p>
            <w:pPr>
              <w:spacing w:after="80" w:before="60"/>
            </w:pPr>
            <w:r>
              <w:rPr>
                <w:b w:val="0"/>
                <w:sz w:val="20"/>
              </w:rPr>
              <w:t>0</w:t>
            </w:r>
          </w:p>
        </w:tc>
        <w:tc>
          <w:tcPr>
            <w:tcW w:type="dxa" w:w="8352"/>
          </w:tcPr>
          <w:p>
            <w:pPr>
              <w:spacing w:after="80" w:before="60"/>
            </w:pPr>
            <w:r>
              <w:rPr>
                <w:b w:val="0"/>
                <w:sz w:val="20"/>
              </w:rPr>
              <w:t>Use the vocabulary mat throughout.</w:t>
            </w:r>
          </w:p>
        </w:tc>
      </w:tr>
      <w:tr>
        <w:trPr>
          <w:cantSplit/>
        </w:trPr>
        <w:tc>
          <w:tcPr>
            <w:tcW w:type="dxa" w:w="936"/>
          </w:tcPr>
          <w:p>
            <w:pPr>
              <w:spacing w:after="80" w:before="60"/>
            </w:pPr>
            <w:r>
              <w:rPr>
                <w:b w:val="0"/>
                <w:sz w:val="20"/>
              </w:rPr>
              <w:t>12</w:t>
            </w:r>
          </w:p>
        </w:tc>
        <w:tc>
          <w:tcPr>
            <w:tcW w:type="dxa" w:w="648"/>
          </w:tcPr>
          <w:p>
            <w:pPr>
              <w:spacing w:after="80" w:before="60"/>
            </w:pPr>
            <w:r>
              <w:rPr>
                <w:b w:val="0"/>
                <w:sz w:val="20"/>
              </w:rPr>
              <w:t>0</w:t>
            </w:r>
          </w:p>
        </w:tc>
        <w:tc>
          <w:tcPr>
            <w:tcW w:type="dxa" w:w="8352"/>
          </w:tcPr>
          <w:p>
            <w:pPr>
              <w:spacing w:after="80" w:before="60"/>
            </w:pPr>
            <w:r>
              <w:rPr>
                <w:b w:val="0"/>
                <w:sz w:val="20"/>
              </w:rPr>
              <w:t>Hidden reference for adults.</w:t>
            </w:r>
          </w:p>
        </w:tc>
      </w:tr>
    </w:tbl>
    <w:p>
      <w:pPr>
        <w:pStyle w:val="Heading1"/>
      </w:pPr>
      <w:r>
        <w:rPr>
          <w:b w:val="0"/>
        </w:rPr>
        <w:t>Hinge and reteach</w:t>
      </w:r>
    </w:p>
    <w:p>
      <w:r>
        <w:rPr>
          <w:b w:val="0"/>
        </w:rPr>
        <w:t>B. Ask for a clear next step or time. A hides the unmet need; C shares private information too widely. If the case is a safety concern, seek help promptly; immediate danger needs emergency help, not a delayed appointment. Reteach with “Please show me what to do next.”</w:t>
      </w:r>
    </w:p>
    <w:p>
      <w:pPr>
        <w:pStyle w:val="Heading1"/>
      </w:pPr>
      <w:r>
        <w:rPr>
          <w:b w:val="0"/>
        </w:rPr>
        <w:t>Access and practice</w:t>
      </w:r>
    </w:p>
    <w:p>
      <w:r>
        <w:rPr>
          <w:b w:val="0"/>
        </w:rPr>
        <w:t>Supported: point to a help phrase. Independent: choose who, how and when. Aspire: check a vague reply or a delay.</w:t>
      </w:r>
    </w:p>
    <w:p>
      <w:r>
        <w:rPr>
          <w:b w:val="0"/>
        </w:rPr>
        <w:t>Model a vague reply with case A, then a helpful clarification. Each pupil makes a request and receives a real classroom reply. The adult records the response without supplying the learner’s reason.</w:t>
      </w:r>
    </w:p>
    <w:p>
      <w:r>
        <w:rPr>
          <w:b w:val="0"/>
        </w:rPr>
        <w:t>Begin evidence during practice and finish during capture. Accept speech, pointing, drawing, writing or usual AAC. Scribe exact words without supplying the assessed reason. No forced pair work or public performance.</w:t>
      </w:r>
    </w:p>
    <w:p>
      <w:r>
        <w:br w:type="page"/>
      </w:r>
    </w:p>
    <w:p>
      <w:pPr>
        <w:pStyle w:val="Heading1"/>
      </w:pPr>
      <w:r>
        <w:rPr>
          <w:b w:val="0"/>
        </w:rPr>
        <w:t>Safe teaching evidence and learner voice</w:t>
      </w:r>
    </w:p>
    <w:p>
      <w:pPr>
        <w:pStyle w:val="Heading1"/>
      </w:pPr>
      <w:r>
        <w:rPr>
          <w:b w:val="0"/>
        </w:rPr>
        <w:t>Boundaries</w:t>
      </w:r>
    </w:p>
    <w:p>
      <w:r>
        <w:rPr>
          <w:b w:val="0"/>
        </w:rPr>
        <w:t>Fictional cases only in group discussion. No acted threats, disclosure demand or live emergency call. Keep any real concern in the separate safeguarding process.</w:t>
      </w:r>
    </w:p>
    <w:p>
      <w:pPr>
        <w:pStyle w:val="Heading1"/>
      </w:pPr>
      <w:r>
        <w:rPr>
          <w:b w:val="0"/>
        </w:rPr>
        <w:t>Assessment and feedback</w:t>
      </w:r>
    </w:p>
    <w:p>
      <w:r>
        <w:rPr>
          <w:b w:val="0"/>
        </w:rPr>
        <w:t>Record the learner’s own words or signs, the adult’s real practice reply and a workable next step. Ordinary task help may wait for an agreed time; a safety concern needs prompt support. A scripted example is not evidence that an actual safeguarding event occurred.</w:t>
      </w:r>
    </w:p>
    <w:p>
      <w:r>
        <w:rPr>
          <w:b w:val="0"/>
        </w:rPr>
        <w:t>Retain actual work, response mode and support. Use VF · WS · I · NS+ (Yellow Box) · // (self-edit) · ? (read back) · R (responded) · E (evidence in the school's evidence record). R requires Voice, Audience, an NS+ prompt and the learner’s response in their own colour. Record E only after evidence is banked. Blank forms and adult models are not completed learner evidence.</w:t>
      </w:r>
    </w:p>
    <w:p>
      <w:pPr>
        <w:pStyle w:val="Heading1"/>
      </w:pPr>
      <w:r>
        <w:rPr>
          <w:b w:val="0"/>
        </w:rPr>
        <w:t>Lundy moments</w:t>
      </w:r>
    </w:p>
    <w:p>
      <w:r>
        <w:rPr>
          <w:b w:val="0"/>
        </w:rPr>
        <w:t>Space: calm, accessible participation. Voice: a choice, reason or help request. Audience: the adult listens or reads and replies. Influence: record the support or next-step change made in response.</w:t>
      </w:r>
    </w:p>
    <w:p>
      <w:pPr>
        <w:pStyle w:val="Heading1"/>
      </w:pPr>
      <w:r>
        <w:rPr>
          <w:b w:val="0"/>
        </w:rPr>
        <w:t>Speaking listening and writing</w:t>
      </w:r>
    </w:p>
    <w:p>
      <w:r>
        <w:rPr>
          <w:b w:val="0"/>
        </w:rPr>
        <w:t>Make a request, listen, ask a clarifying question and record a next step. The receiving teacher maps authentic responses to their own portfolio; no communication criteria are assigned here.</w:t>
      </w:r>
    </w:p>
    <w:p>
      <w:pPr>
        <w:pStyle w:val="Heading1"/>
      </w:pPr>
      <w:r>
        <w:rPr>
          <w:b w:val="0"/>
        </w:rPr>
        <w:t>Reflection and provenance</w:t>
      </w:r>
    </w:p>
    <w:p>
      <w:r>
        <w:rPr>
          <w:b w:val="0"/>
        </w:rPr>
        <w:t>Next teaching need: __________________________________________________</w:t>
        <w:br/>
        <w:t>Learner request and change made: _______________________________________</w:t>
      </w:r>
    </w:p>
    <w:p>
      <w:r>
        <w:rPr>
          <w:b w:val="0"/>
        </w:rPr>
        <w:t>Sources: lane1/main scheme index, revision 840cc945; workbook revision 9ed44bdf, cells above, checked against main by blob/hash. Calendar: owner order. Local examples and diagrams are authored. Source URLs and limits: FACTS_LEDGER.md. No registration or award criteria are inferred.</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PSHE-GROW-A2-W06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and cover planner</dc:title>
  <dc:subject>PSHE-GROW-A2-W06</dc:subject>
  <dc:creator/>
  <cp:keywords/>
  <dc:description/>
  <cp:lastModifiedBy/>
  <cp:revision>1</cp:revision>
  <dcterms:created xsi:type="dcterms:W3CDTF">2026-10-24T00:00:00Z</dcterms:created>
  <dcterms:modified xsi:type="dcterms:W3CDTF">2026-10-24T00:00:00Z</dcterms:modified>
  <cp:category/>
</cp:coreProperties>
</file>