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Things I can do</w:t>
      </w:r>
    </w:p>
    <w:p>
      <w:r>
        <w:rPr>
          <w:b w:val="0"/>
        </w:rPr>
        <w:t>Week beginning 2 November 2026 · one 40-minute lesson</w:t>
      </w:r>
    </w:p>
    <w:p>
      <w:r>
        <w:rPr>
          <w:b w:val="0"/>
        </w:rPr>
        <w:t>Actual date __________________  Staff role ______________</w:t>
      </w:r>
    </w:p>
    <w:p>
      <w:r>
        <w:rPr>
          <w:b w:val="0"/>
        </w:rPr>
        <w:t>Year A · Term theme: Identity &amp; Belonging</w:t>
      </w:r>
    </w:p>
    <w:p>
      <w:r>
        <w:rPr>
          <w:b w:val="0"/>
          <w:sz w:val="19"/>
        </w:rPr>
        <w:t>Thread tags: SMSC S/So (M/C: none); British Values IL/MR (D/RL/T: none).</w:t>
      </w:r>
    </w:p>
    <w:p>
      <w:pPr>
        <w:pStyle w:val="Heading1"/>
      </w:pPr>
      <w:r>
        <w:rPr>
          <w:b w:val="0"/>
        </w:rPr>
        <w:t>Approved objective and source</w:t>
      </w:r>
    </w:p>
    <w:p>
      <w:r>
        <w:rPr>
          <w:b w:val="0"/>
        </w:rPr>
        <w:t>Identify one strength and link it to a work task.</w:t>
      </w:r>
    </w:p>
    <w:p>
      <w:r>
        <w:rPr>
          <w:b w:val="0"/>
          <w:sz w:val="19"/>
        </w:rPr>
        <w:t>Owner-approved standalone Careers outline, 26 October 2026. The combined workbook strand supplies context; it does not replace this approved weekly objective.</w:t>
      </w:r>
    </w:p>
    <w:p>
      <w:pPr>
        <w:pStyle w:val="Heading1"/>
      </w:pPr>
      <w:r>
        <w:rPr>
          <w:b w:val="0"/>
        </w:rPr>
        <w:t>Purpose and success checks</w:t>
      </w:r>
    </w:p>
    <w:p>
      <w:r>
        <w:rPr>
          <w:b w:val="0"/>
        </w:rPr>
        <w:t>How can a skill help with a job?</w:t>
      </w:r>
    </w:p>
    <w:p>
      <w:r>
        <w:rPr>
          <w:b w:val="0"/>
        </w:rPr>
        <w:t>I can match a skill to a task. I can sort and check the cards. I can show one skill I used.</w:t>
      </w:r>
    </w:p>
    <w:p>
      <w:r>
        <w:rPr>
          <w:b w:val="0"/>
          <w:sz w:val="19"/>
        </w:rPr>
        <w:t>CAREERS-BUILD-A2-W01-E1: A strength-to-task match and an individual observation of the practical task, including support used.</w:t>
      </w:r>
    </w:p>
    <w:p>
      <w:pPr>
        <w:pStyle w:val="Heading1"/>
      </w:pPr>
      <w:r>
        <w:rPr>
          <w:b w:val="0"/>
        </w:rPr>
        <w:t>Before pupils arrive</w:t>
      </w:r>
    </w:p>
    <w:p>
      <w:r>
        <w:rPr>
          <w:b w:val="0"/>
        </w:rPr>
        <w:t>For each learner, print both evidence pages and the support pack. Cut six shape tokens and the three skill labels from page 3; keep the two sorting mats intact. Provide a clear tray and large paper tokens only. Read the worker cards aloud if needed. Prepare one duplicate set for modelling. Use 3–4 learners, with individual evidence and an adult or solo route available.</w:t>
      </w:r>
    </w:p>
    <w:p>
      <w:pPr>
        <w:pStyle w:val="Heading1"/>
      </w:pPr>
      <w:r>
        <w:rPr>
          <w:b w:val="0"/>
        </w:rPr>
        <w:t>Calendar and continuity</w:t>
      </w:r>
    </w:p>
    <w:p>
      <w:r>
        <w:rPr>
          <w:b w:val="0"/>
        </w:rPr>
        <w:t>Year A. Autumn 2 Week 1: 2–6 November 2026. One 40-minute Careers lesson. No day or clock slot is inferred. This lesson is formative. Week 7 is the assessing lesson.</w:t>
      </w:r>
    </w:p>
    <w:p>
      <w:pPr>
        <w:pStyle w:val="Heading1"/>
      </w:pPr>
      <w:r>
        <w:rPr>
          <w:b w:val="0"/>
        </w:rPr>
        <w:t>Where this leads</w:t>
      </w:r>
    </w:p>
    <w:p>
      <w:r>
        <w:rPr>
          <w:b w:val="0"/>
        </w:rPr>
        <w:t>This helps me see how a skill can be useful at work.</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720"/>
        <w:gridCol w:w="648"/>
        <w:gridCol w:w="8568"/>
      </w:tblGrid>
      <w:tr>
        <w:trPr>
          <w:tblHeader/>
        </w:trPr>
        <w:tc>
          <w:tcPr>
            <w:tcW w:type="dxa" w:w="720"/>
          </w:tcPr>
          <w:p>
            <w:pPr>
              <w:spacing w:after="60" w:before="40"/>
            </w:pPr>
            <w:r>
              <w:rPr>
                <w:b/>
                <w:sz w:val="19"/>
              </w:rPr>
              <w:t>Slide</w:t>
            </w:r>
          </w:p>
        </w:tc>
        <w:tc>
          <w:tcPr>
            <w:tcW w:type="dxa" w:w="648"/>
          </w:tcPr>
          <w:p>
            <w:pPr>
              <w:spacing w:after="60" w:before="40"/>
            </w:pPr>
            <w:r>
              <w:rPr>
                <w:b/>
                <w:sz w:val="19"/>
              </w:rPr>
              <w:t>Min</w:t>
            </w:r>
          </w:p>
        </w:tc>
        <w:tc>
          <w:tcPr>
            <w:tcW w:type="dxa" w:w="8568"/>
          </w:tcPr>
          <w:p>
            <w:pPr>
              <w:spacing w:after="60" w:before="40"/>
            </w:pPr>
            <w:r>
              <w:rPr>
                <w:b/>
                <w:sz w:val="19"/>
              </w:rPr>
              <w:t>Action</w:t>
            </w:r>
          </w:p>
        </w:tc>
      </w:tr>
      <w:tr>
        <w:tc>
          <w:tcPr>
            <w:tcW w:type="dxa" w:w="720"/>
          </w:tcPr>
          <w:p>
            <w:pPr>
              <w:spacing w:after="60" w:before="40"/>
            </w:pPr>
            <w:r>
              <w:rPr>
                <w:b w:val="0"/>
                <w:sz w:val="19"/>
              </w:rPr>
              <w:t>1</w:t>
            </w:r>
          </w:p>
        </w:tc>
        <w:tc>
          <w:tcPr>
            <w:tcW w:type="dxa" w:w="648"/>
          </w:tcPr>
          <w:p>
            <w:pPr>
              <w:spacing w:after="60" w:before="40"/>
            </w:pPr>
            <w:r>
              <w:rPr>
                <w:b w:val="0"/>
                <w:sz w:val="19"/>
              </w:rPr>
              <w:t>0</w:t>
            </w:r>
          </w:p>
        </w:tc>
        <w:tc>
          <w:tcPr>
            <w:tcW w:type="dxa" w:w="8568"/>
          </w:tcPr>
          <w:p>
            <w:pPr>
              <w:spacing w:after="60" w:before="40"/>
            </w:pPr>
            <w:r>
              <w:rPr>
                <w:b w:val="0"/>
                <w:sz w:val="19"/>
              </w:rPr>
              <w:t>Open the title before the timed sequence.</w:t>
            </w:r>
          </w:p>
        </w:tc>
      </w:tr>
      <w:tr>
        <w:tc>
          <w:tcPr>
            <w:tcW w:type="dxa" w:w="720"/>
          </w:tcPr>
          <w:p>
            <w:pPr>
              <w:spacing w:after="60" w:before="40"/>
            </w:pPr>
            <w:r>
              <w:rPr>
                <w:b w:val="0"/>
                <w:sz w:val="19"/>
              </w:rPr>
              <w:t>2</w:t>
            </w:r>
          </w:p>
        </w:tc>
        <w:tc>
          <w:tcPr>
            <w:tcW w:type="dxa" w:w="648"/>
          </w:tcPr>
          <w:p>
            <w:pPr>
              <w:spacing w:after="60" w:before="40"/>
            </w:pPr>
            <w:r>
              <w:rPr>
                <w:b w:val="0"/>
                <w:sz w:val="19"/>
              </w:rPr>
              <w:t>3</w:t>
            </w:r>
          </w:p>
        </w:tc>
        <w:tc>
          <w:tcPr>
            <w:tcW w:type="dxa" w:w="8568"/>
          </w:tcPr>
          <w:p>
            <w:pPr>
              <w:spacing w:after="60" w:before="40"/>
            </w:pPr>
            <w:r>
              <w:rPr>
                <w:b w:val="0"/>
                <w:sz w:val="19"/>
              </w:rPr>
              <w:t>Calm arrival and support choice.</w:t>
            </w:r>
          </w:p>
        </w:tc>
      </w:tr>
      <w:tr>
        <w:tc>
          <w:tcPr>
            <w:tcW w:type="dxa" w:w="720"/>
          </w:tcPr>
          <w:p>
            <w:pPr>
              <w:spacing w:after="60" w:before="40"/>
            </w:pPr>
            <w:r>
              <w:rPr>
                <w:b w:val="0"/>
                <w:sz w:val="19"/>
              </w:rPr>
              <w:t>3</w:t>
            </w:r>
          </w:p>
        </w:tc>
        <w:tc>
          <w:tcPr>
            <w:tcW w:type="dxa" w:w="648"/>
          </w:tcPr>
          <w:p>
            <w:pPr>
              <w:spacing w:after="60" w:before="40"/>
            </w:pPr>
            <w:r>
              <w:rPr>
                <w:b w:val="0"/>
                <w:sz w:val="19"/>
              </w:rPr>
              <w:t>3</w:t>
            </w:r>
          </w:p>
        </w:tc>
        <w:tc>
          <w:tcPr>
            <w:tcW w:type="dxa" w:w="8568"/>
          </w:tcPr>
          <w:p>
            <w:pPr>
              <w:spacing w:after="60" w:before="40"/>
            </w:pPr>
            <w:r>
              <w:rPr>
                <w:b w:val="0"/>
                <w:sz w:val="19"/>
              </w:rPr>
              <w:t>Explore the fictional worker picture.</w:t>
            </w:r>
          </w:p>
        </w:tc>
      </w:tr>
      <w:tr>
        <w:tc>
          <w:tcPr>
            <w:tcW w:type="dxa" w:w="720"/>
          </w:tcPr>
          <w:p>
            <w:pPr>
              <w:spacing w:after="60" w:before="40"/>
            </w:pPr>
            <w:r>
              <w:rPr>
                <w:b w:val="0"/>
                <w:sz w:val="19"/>
              </w:rPr>
              <w:t>4</w:t>
            </w:r>
          </w:p>
        </w:tc>
        <w:tc>
          <w:tcPr>
            <w:tcW w:type="dxa" w:w="648"/>
          </w:tcPr>
          <w:p>
            <w:pPr>
              <w:spacing w:after="60" w:before="40"/>
            </w:pPr>
            <w:r>
              <w:rPr>
                <w:b w:val="0"/>
                <w:sz w:val="19"/>
              </w:rPr>
              <w:t>0</w:t>
            </w:r>
          </w:p>
        </w:tc>
        <w:tc>
          <w:tcPr>
            <w:tcW w:type="dxa" w:w="8568"/>
          </w:tcPr>
          <w:p>
            <w:pPr>
              <w:spacing w:after="60" w:before="40"/>
            </w:pPr>
            <w:r>
              <w:rPr>
                <w:b w:val="0"/>
                <w:sz w:val="19"/>
              </w:rPr>
              <w:t>Read the objective and success checks.</w:t>
            </w:r>
          </w:p>
        </w:tc>
      </w:tr>
      <w:tr>
        <w:tc>
          <w:tcPr>
            <w:tcW w:type="dxa" w:w="720"/>
          </w:tcPr>
          <w:p>
            <w:pPr>
              <w:spacing w:after="60" w:before="40"/>
            </w:pPr>
            <w:r>
              <w:rPr>
                <w:b w:val="0"/>
                <w:sz w:val="19"/>
              </w:rPr>
              <w:t>5</w:t>
            </w:r>
          </w:p>
        </w:tc>
        <w:tc>
          <w:tcPr>
            <w:tcW w:type="dxa" w:w="648"/>
          </w:tcPr>
          <w:p>
            <w:pPr>
              <w:spacing w:after="60" w:before="40"/>
            </w:pPr>
            <w:r>
              <w:rPr>
                <w:b w:val="0"/>
                <w:sz w:val="19"/>
              </w:rPr>
              <w:t>5</w:t>
            </w:r>
          </w:p>
        </w:tc>
        <w:tc>
          <w:tcPr>
            <w:tcW w:type="dxa" w:w="8568"/>
          </w:tcPr>
          <w:p>
            <w:pPr>
              <w:spacing w:after="60" w:before="40"/>
            </w:pPr>
            <w:r>
              <w:rPr>
                <w:b w:val="0"/>
                <w:sz w:val="19"/>
              </w:rPr>
              <w:t>Model with a separate set.</w:t>
            </w:r>
          </w:p>
        </w:tc>
      </w:tr>
      <w:tr>
        <w:tc>
          <w:tcPr>
            <w:tcW w:type="dxa" w:w="720"/>
          </w:tcPr>
          <w:p>
            <w:pPr>
              <w:spacing w:after="60" w:before="40"/>
            </w:pPr>
            <w:r>
              <w:rPr>
                <w:b w:val="0"/>
                <w:sz w:val="19"/>
              </w:rPr>
              <w:t>6</w:t>
            </w:r>
          </w:p>
        </w:tc>
        <w:tc>
          <w:tcPr>
            <w:tcW w:type="dxa" w:w="648"/>
          </w:tcPr>
          <w:p>
            <w:pPr>
              <w:spacing w:after="60" w:before="40"/>
            </w:pPr>
            <w:r>
              <w:rPr>
                <w:b w:val="0"/>
                <w:sz w:val="19"/>
              </w:rPr>
              <w:t>5</w:t>
            </w:r>
          </w:p>
        </w:tc>
        <w:tc>
          <w:tcPr>
            <w:tcW w:type="dxa" w:w="8568"/>
          </w:tcPr>
          <w:p>
            <w:pPr>
              <w:spacing w:after="60" w:before="40"/>
            </w:pPr>
            <w:r>
              <w:rPr>
                <w:b w:val="0"/>
                <w:sz w:val="19"/>
              </w:rPr>
              <w:t>Hinge check and brief reteach.</w:t>
            </w:r>
          </w:p>
        </w:tc>
      </w:tr>
      <w:tr>
        <w:tc>
          <w:tcPr>
            <w:tcW w:type="dxa" w:w="720"/>
          </w:tcPr>
          <w:p>
            <w:pPr>
              <w:spacing w:after="60" w:before="40"/>
            </w:pPr>
            <w:r>
              <w:rPr>
                <w:b w:val="0"/>
                <w:sz w:val="19"/>
              </w:rPr>
              <w:t>7</w:t>
            </w:r>
          </w:p>
        </w:tc>
        <w:tc>
          <w:tcPr>
            <w:tcW w:type="dxa" w:w="648"/>
          </w:tcPr>
          <w:p>
            <w:pPr>
              <w:spacing w:after="60" w:before="40"/>
            </w:pPr>
            <w:r>
              <w:rPr>
                <w:b w:val="0"/>
                <w:sz w:val="19"/>
              </w:rPr>
              <w:t>12</w:t>
            </w:r>
          </w:p>
        </w:tc>
        <w:tc>
          <w:tcPr>
            <w:tcW w:type="dxa" w:w="8568"/>
          </w:tcPr>
          <w:p>
            <w:pPr>
              <w:spacing w:after="60" w:before="40"/>
            </w:pPr>
            <w:r>
              <w:rPr>
                <w:b w:val="0"/>
                <w:sz w:val="19"/>
              </w:rPr>
              <w:t>Individual task with the chosen route.</w:t>
            </w:r>
          </w:p>
        </w:tc>
      </w:tr>
      <w:tr>
        <w:tc>
          <w:tcPr>
            <w:tcW w:type="dxa" w:w="720"/>
          </w:tcPr>
          <w:p>
            <w:pPr>
              <w:spacing w:after="60" w:before="40"/>
            </w:pPr>
            <w:r>
              <w:rPr>
                <w:b w:val="0"/>
                <w:sz w:val="19"/>
              </w:rPr>
              <w:t>8</w:t>
            </w:r>
          </w:p>
        </w:tc>
        <w:tc>
          <w:tcPr>
            <w:tcW w:type="dxa" w:w="648"/>
          </w:tcPr>
          <w:p>
            <w:pPr>
              <w:spacing w:after="60" w:before="40"/>
            </w:pPr>
            <w:r>
              <w:rPr>
                <w:b w:val="0"/>
                <w:sz w:val="19"/>
              </w:rPr>
              <w:t>6</w:t>
            </w:r>
          </w:p>
        </w:tc>
        <w:tc>
          <w:tcPr>
            <w:tcW w:type="dxa" w:w="8568"/>
          </w:tcPr>
          <w:p>
            <w:pPr>
              <w:spacing w:after="60" w:before="40"/>
            </w:pPr>
            <w:r>
              <w:rPr>
                <w:b w:val="0"/>
                <w:sz w:val="19"/>
              </w:rPr>
              <w:t>Record actual work, response and support.</w:t>
            </w:r>
          </w:p>
        </w:tc>
      </w:tr>
      <w:tr>
        <w:tc>
          <w:tcPr>
            <w:tcW w:type="dxa" w:w="720"/>
          </w:tcPr>
          <w:p>
            <w:pPr>
              <w:spacing w:after="60" w:before="40"/>
            </w:pPr>
            <w:r>
              <w:rPr>
                <w:b w:val="0"/>
                <w:sz w:val="19"/>
              </w:rPr>
              <w:t>9</w:t>
            </w:r>
          </w:p>
        </w:tc>
        <w:tc>
          <w:tcPr>
            <w:tcW w:type="dxa" w:w="648"/>
          </w:tcPr>
          <w:p>
            <w:pPr>
              <w:spacing w:after="60" w:before="40"/>
            </w:pPr>
            <w:r>
              <w:rPr>
                <w:b w:val="0"/>
                <w:sz w:val="19"/>
              </w:rPr>
              <w:t>4</w:t>
            </w:r>
          </w:p>
        </w:tc>
        <w:tc>
          <w:tcPr>
            <w:tcW w:type="dxa" w:w="8568"/>
          </w:tcPr>
          <w:p>
            <w:pPr>
              <w:spacing w:after="60" w:before="40"/>
            </w:pPr>
            <w:r>
              <w:rPr>
                <w:b w:val="0"/>
                <w:sz w:val="19"/>
              </w:rPr>
              <w:t>Tidy and check work references.</w:t>
            </w:r>
          </w:p>
        </w:tc>
      </w:tr>
      <w:tr>
        <w:tc>
          <w:tcPr>
            <w:tcW w:type="dxa" w:w="720"/>
          </w:tcPr>
          <w:p>
            <w:pPr>
              <w:spacing w:after="60" w:before="40"/>
            </w:pPr>
            <w:r>
              <w:rPr>
                <w:b w:val="0"/>
                <w:sz w:val="19"/>
              </w:rPr>
              <w:t>10</w:t>
            </w:r>
          </w:p>
        </w:tc>
        <w:tc>
          <w:tcPr>
            <w:tcW w:type="dxa" w:w="648"/>
          </w:tcPr>
          <w:p>
            <w:pPr>
              <w:spacing w:after="60" w:before="40"/>
            </w:pPr>
            <w:r>
              <w:rPr>
                <w:b w:val="0"/>
                <w:sz w:val="19"/>
              </w:rPr>
              <w:t>2</w:t>
            </w:r>
          </w:p>
        </w:tc>
        <w:tc>
          <w:tcPr>
            <w:tcW w:type="dxa" w:w="8568"/>
          </w:tcPr>
          <w:p>
            <w:pPr>
              <w:spacing w:after="60" w:before="40"/>
            </w:pPr>
            <w:r>
              <w:rPr>
                <w:b w:val="0"/>
                <w:sz w:val="19"/>
              </w:rPr>
              <w:t>Individual exit response and next step.</w:t>
            </w:r>
          </w:p>
        </w:tc>
      </w:tr>
      <w:tr>
        <w:tc>
          <w:tcPr>
            <w:tcW w:type="dxa" w:w="720"/>
          </w:tcPr>
          <w:p>
            <w:pPr>
              <w:spacing w:after="60" w:before="40"/>
            </w:pPr>
            <w:r>
              <w:rPr>
                <w:b w:val="0"/>
                <w:sz w:val="19"/>
              </w:rPr>
              <w:t>11</w:t>
            </w:r>
          </w:p>
        </w:tc>
        <w:tc>
          <w:tcPr>
            <w:tcW w:type="dxa" w:w="648"/>
          </w:tcPr>
          <w:p>
            <w:pPr>
              <w:spacing w:after="60" w:before="40"/>
            </w:pPr>
            <w:r>
              <w:rPr>
                <w:b w:val="0"/>
                <w:sz w:val="19"/>
              </w:rPr>
              <w:t>0</w:t>
            </w:r>
          </w:p>
        </w:tc>
        <w:tc>
          <w:tcPr>
            <w:tcW w:type="dxa" w:w="8568"/>
          </w:tcPr>
          <w:p>
            <w:pPr>
              <w:spacing w:after="60" w:before="40"/>
            </w:pPr>
            <w:r>
              <w:rPr>
                <w:b w:val="0"/>
                <w:sz w:val="19"/>
              </w:rPr>
              <w:t>Vocabulary available throughout.</w:t>
            </w:r>
          </w:p>
        </w:tc>
      </w:tr>
      <w:tr>
        <w:tc>
          <w:tcPr>
            <w:tcW w:type="dxa" w:w="720"/>
          </w:tcPr>
          <w:p>
            <w:pPr>
              <w:spacing w:after="60" w:before="40"/>
            </w:pPr>
            <w:r>
              <w:rPr>
                <w:b w:val="0"/>
                <w:sz w:val="19"/>
              </w:rPr>
              <w:t>12</w:t>
            </w:r>
          </w:p>
        </w:tc>
        <w:tc>
          <w:tcPr>
            <w:tcW w:type="dxa" w:w="648"/>
          </w:tcPr>
          <w:p>
            <w:pPr>
              <w:spacing w:after="60" w:before="40"/>
            </w:pPr>
            <w:r>
              <w:rPr>
                <w:b w:val="0"/>
                <w:sz w:val="19"/>
              </w:rPr>
              <w:t>0</w:t>
            </w:r>
          </w:p>
        </w:tc>
        <w:tc>
          <w:tcPr>
            <w:tcW w:type="dxa" w:w="8568"/>
          </w:tcPr>
          <w:p>
            <w:pPr>
              <w:spacing w:after="60" w:before="40"/>
            </w:pPr>
            <w:r>
              <w:rPr>
                <w:b w:val="0"/>
                <w:sz w:val="19"/>
              </w:rPr>
              <w:t>Hidden staff reference.</w:t>
            </w:r>
          </w:p>
        </w:tc>
      </w:tr>
    </w:tbl>
    <w:p>
      <w:pPr>
        <w:pStyle w:val="Heading1"/>
      </w:pPr>
      <w:r>
        <w:rPr>
          <w:b w:val="0"/>
        </w:rPr>
        <w:t>Hinge and reteach</w:t>
      </w:r>
    </w:p>
    <w:p>
      <w:r>
        <w:rPr>
          <w:b w:val="0"/>
        </w:rPr>
        <w:t>A: checking is supported by the stated action. Speed, neatness or confidence alone is not the target. Recheck using the helper card: ask which action shows helping. Accept another skill only when the learner links it to a stated action.</w:t>
      </w:r>
    </w:p>
    <w:p>
      <w:pPr>
        <w:pStyle w:val="Heading1"/>
      </w:pPr>
      <w:r>
        <w:rPr>
          <w:b w:val="0"/>
        </w:rPr>
        <w:t>Routes and task</w:t>
      </w:r>
    </w:p>
    <w:p>
      <w:r>
        <w:rPr>
          <w:b w:val="0"/>
        </w:rPr>
        <w:t>Supported: choose from two skill cards, then sort three tokens with a model available. Independent: match three worker cards, sort six tokens and check both sets. Aspire: explain a second skill, or show how checking improves the first sort.</w:t>
      </w:r>
    </w:p>
    <w:p>
      <w:r>
        <w:rPr>
          <w:b w:val="0"/>
        </w:rPr>
        <w:t>Use four minutes to match worker cards to sort, check or help. Use five minutes for an individual shape sort: supported route uses three tokens; independent route uses all six. Use three minutes to check sets and identify one skill actually shown. Give one specific prompt and preserve the first result and changed response. A card match alone does not prove the practical skill.</w:t>
      </w:r>
    </w:p>
    <w:p>
      <w:r>
        <w:rPr>
          <w:b w:val="0"/>
          <w:sz w:val="19"/>
        </w:rPr>
        <w:t>Read aloud, point, scribe exact words or use the usual communication aid. Record support without treating speech speed or handwriting as the target.</w:t>
      </w:r>
    </w:p>
    <w:p>
      <w:r>
        <w:br w:type="page"/>
      </w:r>
    </w:p>
    <w:p>
      <w:pPr>
        <w:pStyle w:val="Heading1"/>
      </w:pPr>
      <w:r>
        <w:rPr>
          <w:b w:val="0"/>
        </w:rPr>
        <w:t>Safe teaching and evidence</w:t>
      </w:r>
    </w:p>
    <w:p>
      <w:pPr>
        <w:pStyle w:val="Heading1"/>
      </w:pPr>
      <w:r>
        <w:rPr>
          <w:b w:val="0"/>
        </w:rPr>
        <w:t>Boundaries</w:t>
      </w:r>
    </w:p>
    <w:p>
      <w:r>
        <w:rPr>
          <w:b w:val="0"/>
        </w:rPr>
        <w:t>All worker profiles, job roles, employers and settings are fictional. Use only the supplied classroom tasks; no real employers, applications or personal contact details. No names are required. Do not ask about family, body or private experiences. Respect a choice to pause or respond privately. No forced pair work or public performance. Follow the setting’s safeguarding route if a concern is raised.</w:t>
      </w:r>
    </w:p>
    <w:p>
      <w:pPr>
        <w:pStyle w:val="Heading1"/>
      </w:pPr>
      <w:r>
        <w:rPr>
          <w:b w:val="0"/>
        </w:rPr>
        <w:t>Assessment and feedback</w:t>
      </w:r>
    </w:p>
    <w:p>
      <w:r>
        <w:rPr>
          <w:b w:val="0"/>
        </w:rPr>
        <w:t>Record the selected worker card and skill, then the number and pattern of tokens sorted and checked. Note exact prompts and what the learner did. Ask for one skill demonstrated in this task, without asking for private experiences. A pupil may identify a skill to develop rather than claim it as a fixed strength. This is formative evidence for Week 7.</w:t>
      </w:r>
    </w:p>
    <w:p>
      <w:r>
        <w:rPr>
          <w:b w:val="0"/>
          <w:sz w:val="19"/>
        </w:rPr>
        <w:t>Use VF · WS · I · NS+ (Yellow Box) · // self-edit · ? read back · R responded · E evidence in the evidence record. R requires Voice, Audience, a specific NS+ prompt and the learner response in their own colour. E is recorded only when actual evidence is banked. Record support and unfinished work; blank forms and adult models are not completed learner evidence.</w:t>
      </w:r>
    </w:p>
    <w:p>
      <w:pPr>
        <w:pStyle w:val="Heading1"/>
      </w:pPr>
      <w:r>
        <w:rPr>
          <w:b w:val="0"/>
        </w:rPr>
        <w:t>Learner voice and thread tags</w:t>
      </w:r>
    </w:p>
    <w:p>
      <w:r>
        <w:rPr>
          <w:b w:val="0"/>
        </w:rPr>
        <w:t>Space: calm seating and clear resources. Voice: choose a mode, reason or help request. Audience: an adult listens or reads and replies. Influence: record the support or next step changed in response.</w:t>
      </w:r>
    </w:p>
    <w:p>
      <w:r>
        <w:rPr>
          <w:b w:val="0"/>
          <w:sz w:val="19"/>
        </w:rPr>
        <w:t>S: reflect on skills or choices. So: listen and share task talk. IL: choose a response mode and task route. MR: value different skills and roles without ranking people.</w:t>
      </w:r>
    </w:p>
    <w:p>
      <w:pPr>
        <w:pStyle w:val="Heading1"/>
      </w:pPr>
      <w:r>
        <w:rPr>
          <w:b w:val="0"/>
        </w:rPr>
        <w:t>Offer to the Communication portfolio</w:t>
      </w:r>
    </w:p>
    <w:p>
      <w:r>
        <w:rPr>
          <w:b w:val="0"/>
        </w:rPr>
        <w:t>Offer an authentic explanation, choice or help request to the Communication portfolio. The receiving teacher decides how actual work fits the evidence record; no qualification criterion is assigned here.</w:t>
      </w:r>
    </w:p>
    <w:p>
      <w:pPr>
        <w:pStyle w:val="Heading1"/>
      </w:pPr>
      <w:r>
        <w:rPr>
          <w:b w:val="0"/>
        </w:rPr>
        <w:t>Reflection and provenance</w:t>
      </w:r>
    </w:p>
    <w:p>
      <w:r>
        <w:rPr>
          <w:b w:val="0"/>
        </w:rPr>
        <w:t>Next teaching need: __________________________________________</w:t>
        <w:br/>
        <w:t>Learner request and change made: ______________________________</w:t>
      </w:r>
    </w:p>
    <w:p>
      <w:r>
        <w:rPr>
          <w:b w:val="0"/>
          <w:sz w:val="18"/>
        </w:rPr>
        <w:t>Source: owner_orders/BUILD_Careers_Autumn2_YearA_outline, revision approved-2026-10-26. Context: scheme_references/BUILD_SOW.xlsx, revision uploaded-source-2026-09-04; BUILD - Autumn C19/D19/E19; BUILD Weekly - Autumn C140/C141. Tasks are newly authored. The qualification and the accredited unit require staff mapping of actual work. No completion is claimed. Sources: FACTS_LEDGER.md.</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CAREERS-BUILD-A2-W01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Things I can do</dc:title>
  <dc:subject>CAREERS-BUILD-A2-W01</dc:subject>
  <dc:creator/>
  <cp:keywords>Year A · Careers</cp:keywords>
  <dc:description>Year A · Careers</dc:description>
  <cp:lastModifiedBy/>
  <cp:revision>1</cp:revision>
  <dcterms:created xsi:type="dcterms:W3CDTF">2013-12-23T23:15:00Z</dcterms:created>
  <dcterms:modified xsi:type="dcterms:W3CDTF">2013-12-23T23:15:00Z</dcterms:modified>
  <cp:category/>
</cp:coreProperties>
</file>