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Things I can do</w:t>
      </w:r>
    </w:p>
    <w:p>
      <w:r>
        <w:rPr>
          <w:b w:val="0"/>
        </w:rPr>
        <w:t>These are teaching guides. Record the learner’s actual response and support. The fictional worker cards do not describe real people, employers or vacancies.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Sort: the action puts items in order.</w:t>
            </w:r>
          </w:p>
        </w:tc>
        <w:tc>
          <w:tcPr>
            <w:tcW w:type="dxa" w:w="4968"/>
          </w:tcPr>
          <w:p>
            <w:pPr>
              <w:spacing w:after="60" w:before="40"/>
            </w:pPr>
            <w:r>
              <w:rPr>
                <w:b w:val="0"/>
                <w:sz w:val="20"/>
              </w:rPr>
              <w:t>Ask what the worker does that shows sorting.</w:t>
            </w:r>
          </w:p>
        </w:tc>
      </w:tr>
      <w:tr>
        <w:tc>
          <w:tcPr>
            <w:tcW w:type="dxa" w:w="864"/>
          </w:tcPr>
          <w:p>
            <w:pPr>
              <w:spacing w:after="60" w:before="40"/>
            </w:pPr>
            <w:r>
              <w:rPr>
                <w:b w:val="0"/>
                <w:sz w:val="20"/>
              </w:rPr>
              <w:t>B</w:t>
            </w:r>
          </w:p>
        </w:tc>
        <w:tc>
          <w:tcPr>
            <w:tcW w:type="dxa" w:w="4104"/>
          </w:tcPr>
          <w:p>
            <w:pPr>
              <w:spacing w:after="60" w:before="40"/>
            </w:pPr>
            <w:r>
              <w:rPr>
                <w:b w:val="0"/>
                <w:sz w:val="20"/>
              </w:rPr>
              <w:t>Check: the worker compares items with a list.</w:t>
            </w:r>
          </w:p>
        </w:tc>
        <w:tc>
          <w:tcPr>
            <w:tcW w:type="dxa" w:w="4968"/>
          </w:tcPr>
          <w:p>
            <w:pPr>
              <w:spacing w:after="60" w:before="40"/>
            </w:pPr>
            <w:r>
              <w:rPr>
                <w:b w:val="0"/>
                <w:sz w:val="20"/>
              </w:rPr>
              <w:t>Ask the learner to point to the action or read it back.</w:t>
            </w:r>
          </w:p>
        </w:tc>
      </w:tr>
      <w:tr>
        <w:tc>
          <w:tcPr>
            <w:tcW w:type="dxa" w:w="864"/>
          </w:tcPr>
          <w:p>
            <w:pPr>
              <w:spacing w:after="60" w:before="40"/>
            </w:pPr>
            <w:r>
              <w:rPr>
                <w:b w:val="0"/>
                <w:sz w:val="20"/>
              </w:rPr>
              <w:t>C</w:t>
            </w:r>
          </w:p>
        </w:tc>
        <w:tc>
          <w:tcPr>
            <w:tcW w:type="dxa" w:w="4104"/>
          </w:tcPr>
          <w:p>
            <w:pPr>
              <w:spacing w:after="60" w:before="40"/>
            </w:pPr>
            <w:r>
              <w:rPr>
                <w:b w:val="0"/>
                <w:sz w:val="20"/>
              </w:rPr>
              <w:t>Help: the worker gives another person useful information.</w:t>
            </w:r>
          </w:p>
        </w:tc>
        <w:tc>
          <w:tcPr>
            <w:tcW w:type="dxa" w:w="4968"/>
          </w:tcPr>
          <w:p>
            <w:pPr>
              <w:spacing w:after="60" w:before="40"/>
            </w:pPr>
            <w:r>
              <w:rPr>
                <w:b w:val="0"/>
                <w:sz w:val="20"/>
              </w:rPr>
              <w:t>Accept pointing or a short phrase; do not require fluent speech.</w:t>
            </w:r>
          </w:p>
        </w:tc>
      </w:tr>
      <w:tr>
        <w:tc>
          <w:tcPr>
            <w:tcW w:type="dxa" w:w="864"/>
          </w:tcPr>
          <w:p>
            <w:pPr>
              <w:spacing w:after="60" w:before="40"/>
            </w:pPr>
            <w:r>
              <w:rPr>
                <w:b w:val="0"/>
                <w:sz w:val="20"/>
              </w:rPr>
              <w:t>D</w:t>
            </w:r>
          </w:p>
        </w:tc>
        <w:tc>
          <w:tcPr>
            <w:tcW w:type="dxa" w:w="4104"/>
          </w:tcPr>
          <w:p>
            <w:pPr>
              <w:spacing w:after="60" w:before="40"/>
            </w:pPr>
            <w:r>
              <w:rPr>
                <w:b w:val="0"/>
                <w:sz w:val="20"/>
              </w:rPr>
              <w:t>Sort: the worker groups the same shapes.</w:t>
            </w:r>
          </w:p>
        </w:tc>
        <w:tc>
          <w:tcPr>
            <w:tcW w:type="dxa" w:w="4968"/>
          </w:tcPr>
          <w:p>
            <w:pPr>
              <w:spacing w:after="60" w:before="40"/>
            </w:pPr>
            <w:r>
              <w:rPr>
                <w:b w:val="0"/>
                <w:sz w:val="20"/>
              </w:rPr>
              <w:t>Link to the classroom token task.</w:t>
            </w:r>
          </w:p>
        </w:tc>
      </w:tr>
      <w:tr>
        <w:tc>
          <w:tcPr>
            <w:tcW w:type="dxa" w:w="864"/>
          </w:tcPr>
          <w:p>
            <w:pPr>
              <w:spacing w:after="60" w:before="40"/>
            </w:pPr>
            <w:r>
              <w:rPr>
                <w:b w:val="0"/>
                <w:sz w:val="20"/>
              </w:rPr>
              <w:t>E</w:t>
            </w:r>
          </w:p>
        </w:tc>
        <w:tc>
          <w:tcPr>
            <w:tcW w:type="dxa" w:w="4104"/>
          </w:tcPr>
          <w:p>
            <w:pPr>
              <w:spacing w:after="60" w:before="40"/>
            </w:pPr>
            <w:r>
              <w:rPr>
                <w:b w:val="0"/>
                <w:sz w:val="20"/>
              </w:rPr>
              <w:t>Check: the worker notices a mismatch.</w:t>
            </w:r>
          </w:p>
        </w:tc>
        <w:tc>
          <w:tcPr>
            <w:tcW w:type="dxa" w:w="4968"/>
          </w:tcPr>
          <w:p>
            <w:pPr>
              <w:spacing w:after="60" w:before="40"/>
            </w:pPr>
            <w:r>
              <w:rPr>
                <w:b w:val="0"/>
                <w:sz w:val="20"/>
              </w:rPr>
              <w:t>Ask what could be changed; keep the initial sort recorded.</w:t>
            </w:r>
          </w:p>
        </w:tc>
      </w:tr>
      <w:tr>
        <w:tc>
          <w:tcPr>
            <w:tcW w:type="dxa" w:w="864"/>
          </w:tcPr>
          <w:p>
            <w:pPr>
              <w:spacing w:after="60" w:before="40"/>
            </w:pPr>
            <w:r>
              <w:rPr>
                <w:b w:val="0"/>
                <w:sz w:val="20"/>
              </w:rPr>
              <w:t>F</w:t>
            </w:r>
          </w:p>
        </w:tc>
        <w:tc>
          <w:tcPr>
            <w:tcW w:type="dxa" w:w="4104"/>
          </w:tcPr>
          <w:p>
            <w:pPr>
              <w:spacing w:after="60" w:before="40"/>
            </w:pPr>
            <w:r>
              <w:rPr>
                <w:b w:val="0"/>
                <w:sz w:val="20"/>
              </w:rPr>
              <w:t>Help: the worker supports another person’s task.</w:t>
            </w:r>
          </w:p>
        </w:tc>
        <w:tc>
          <w:tcPr>
            <w:tcW w:type="dxa" w:w="4968"/>
          </w:tcPr>
          <w:p>
            <w:pPr>
              <w:spacing w:after="60" w:before="40"/>
            </w:pPr>
            <w:r>
              <w:rPr>
                <w:b w:val="0"/>
                <w:sz w:val="20"/>
              </w:rPr>
              <w:t>Accept another relevant skill with a reason grounded in the card.</w:t>
            </w:r>
          </w:p>
        </w:tc>
      </w:tr>
    </w:tbl>
    <w:p>
      <w:pPr>
        <w:pStyle w:val="Heading1"/>
      </w:pPr>
      <w:r>
        <w:rPr>
          <w:b w:val="0"/>
        </w:rPr>
        <w:t>Model and hinge</w:t>
      </w:r>
    </w:p>
    <w:p>
      <w:r>
        <w:rPr>
          <w:b w:val="0"/>
        </w:rPr>
        <w:t>This made-up worker sorts tins. The tins go in neat rows. Sorting is a useful skill. Now watch me sort these cards. I put like shapes in a set. I check each set to make sure.</w:t>
      </w:r>
    </w:p>
    <w:p>
      <w:r>
        <w:rPr>
          <w:b w:val="0"/>
        </w:rPr>
        <w:t>A: checking is supported by the stated action. Speed, neatness or confidence alone is not the target. Recheck using the helper card: ask which action shows helping. Accept another skill only when the learner links it to a stated action.</w:t>
      </w:r>
    </w:p>
    <w:p>
      <w:pPr>
        <w:pStyle w:val="Heading1"/>
      </w:pPr>
      <w:r>
        <w:rPr>
          <w:b w:val="0"/>
        </w:rPr>
        <w:t>Individual evidence key</w:t>
      </w:r>
    </w:p>
    <w:p>
      <w:r>
        <w:rPr>
          <w:b w:val="0"/>
        </w:rPr>
        <w:t>Record the selected worker card and skill, then the number and pattern of tokens sorted and checked. Note exact prompts and what the learner did. Ask for one skill demonstrated in this task, without asking for private experiences. A pupil may identify a skill to develop rather than claim it as a fixed strength. This is formative evidence for Week 7.</w:t>
      </w:r>
    </w:p>
    <w:p>
      <w:r>
        <w:br w:type="page"/>
      </w:r>
    </w:p>
    <w:p>
      <w:pPr>
        <w:pStyle w:val="Heading1"/>
      </w:pPr>
      <w:r>
        <w:rPr>
          <w:b w:val="0"/>
        </w:rPr>
        <w:t>Feedback and next teaching</w:t>
      </w:r>
    </w:p>
    <w:p>
      <w:pPr>
        <w:pStyle w:val="Heading1"/>
      </w:pPr>
      <w:r>
        <w:rPr>
          <w:b w:val="0"/>
        </w:rPr>
        <w:t>Practical check</w:t>
      </w:r>
    </w:p>
    <w:p>
      <w:r>
        <w:rPr>
          <w:b w:val="0"/>
        </w:rPr>
        <w:t>The token sheet has three circles and three squares. A correct full sort has three circles on the circle mat and three squares on the square mat. For the Supported route, give any three tokens and record the actual set. Record the first sort before any prompt; then note the changed result. A pupil may point to sort, check or help if the observed action supports it.</w:t>
      </w:r>
    </w:p>
    <w:p>
      <w:pPr>
        <w:pStyle w:val="Heading1"/>
      </w:pPr>
      <w:r>
        <w:rPr>
          <w:b w:val="0"/>
        </w:rPr>
        <w:t>Common misunderstandings</w:t>
      </w:r>
    </w:p>
    <w:p>
      <w:r>
        <w:rPr>
          <w:b w:val="0"/>
        </w:rPr>
        <w:t>A strength is not a ranking of people. A skill can grow with practice. Sorting, checking and helping can all matter in many jobs. The worker’s appearance does not tell us their skill.</w:t>
      </w:r>
    </w:p>
    <w:p>
      <w:pPr>
        <w:pStyle w:val="Heading1"/>
      </w:pPr>
      <w:r>
        <w:rPr>
          <w:b w:val="0"/>
        </w:rPr>
        <w:t>Teaching boundary</w:t>
      </w:r>
    </w:p>
    <w:p>
      <w:r>
        <w:rPr>
          <w:b w:val="0"/>
        </w:rPr>
        <w:t>All worker profiles, job roles, employers and settings are fictional. Use only the supplied classroom tasks; no real employers, applications or personal contact details. No names are required. Do not ask about family, body or private experiences. Respect a choice to pause or respond privately. No forced pair work or public performance. Follow the setting’s safeguarding route if a concern is raised.</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evidence is banked. Record support and unfinished work; blank forms and adult models are not completed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I can do</dc:title>
  <dc:subject>CAREERS-BUILD-A2-W01</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