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Jobs and their tasks</w:t>
      </w:r>
    </w:p>
    <w:p>
      <w:r>
        <w:rPr>
          <w:b w:val="0"/>
        </w:rPr>
        <w:t>These are teaching guides. Record the learner’s actual response and support. The fictional worker cards do not describe real people, employers or vacancies.</w:t>
      </w:r>
    </w:p>
    <w:p>
      <w:pPr>
        <w:pStyle w:val="Heading1"/>
      </w:pPr>
      <w:r>
        <w:rPr>
          <w:b w:val="0"/>
        </w:rPr>
        <w:t>Card key</w:t>
      </w:r>
    </w:p>
    <w:tbl>
      <w:tblPr>
        <w:tblStyle w:val="TableGrid"/>
        <w:tblW w:type="auto" w:w="0"/>
        <w:tblLayout w:type="fixed"/>
        <w:tblLook w:firstColumn="1" w:firstRow="1" w:lastColumn="0" w:lastRow="0" w:noHBand="0" w:noVBand="1" w:val="04A0"/>
      </w:tblPr>
      <w:tblGrid>
        <w:gridCol w:w="864"/>
        <w:gridCol w:w="4104"/>
        <w:gridCol w:w="4968"/>
      </w:tblGrid>
      <w:tr>
        <w:trPr>
          <w:tblHeader/>
        </w:trPr>
        <w:tc>
          <w:tcPr>
            <w:tcW w:type="dxa" w:w="864"/>
          </w:tcPr>
          <w:p>
            <w:pPr>
              <w:spacing w:after="60" w:before="40"/>
            </w:pPr>
            <w:r>
              <w:rPr>
                <w:b/>
                <w:sz w:val="20"/>
              </w:rPr>
              <w:t>Card</w:t>
            </w:r>
          </w:p>
        </w:tc>
        <w:tc>
          <w:tcPr>
            <w:tcW w:type="dxa" w:w="4104"/>
          </w:tcPr>
          <w:p>
            <w:pPr>
              <w:spacing w:after="60" w:before="40"/>
            </w:pPr>
            <w:r>
              <w:rPr>
                <w:b/>
                <w:sz w:val="20"/>
              </w:rPr>
              <w:t>Judgement</w:t>
            </w:r>
          </w:p>
        </w:tc>
        <w:tc>
          <w:tcPr>
            <w:tcW w:type="dxa" w:w="4968"/>
          </w:tcPr>
          <w:p>
            <w:pPr>
              <w:spacing w:after="60" w:before="40"/>
            </w:pPr>
            <w:r>
              <w:rPr>
                <w:b/>
                <w:sz w:val="20"/>
              </w:rPr>
              <w:t>Possible action</w:t>
            </w:r>
          </w:p>
        </w:tc>
      </w:tr>
      <w:tr>
        <w:tc>
          <w:tcPr>
            <w:tcW w:type="dxa" w:w="864"/>
          </w:tcPr>
          <w:p>
            <w:pPr>
              <w:spacing w:after="60" w:before="40"/>
            </w:pPr>
            <w:r>
              <w:rPr>
                <w:b w:val="0"/>
                <w:sz w:val="20"/>
              </w:rPr>
              <w:t>A</w:t>
            </w:r>
          </w:p>
        </w:tc>
        <w:tc>
          <w:tcPr>
            <w:tcW w:type="dxa" w:w="4104"/>
          </w:tcPr>
          <w:p>
            <w:pPr>
              <w:spacing w:after="60" w:before="40"/>
            </w:pPr>
            <w:r>
              <w:rPr>
                <w:b w:val="0"/>
                <w:sz w:val="20"/>
              </w:rPr>
              <w:t>Shop: the brief includes arranging tins.</w:t>
            </w:r>
          </w:p>
        </w:tc>
        <w:tc>
          <w:tcPr>
            <w:tcW w:type="dxa" w:w="4968"/>
          </w:tcPr>
          <w:p>
            <w:pPr>
              <w:spacing w:after="60" w:before="40"/>
            </w:pPr>
            <w:r>
              <w:rPr>
                <w:b w:val="0"/>
                <w:sz w:val="20"/>
              </w:rPr>
              <w:t>Ask the learner to link the task to the role card.</w:t>
            </w:r>
          </w:p>
        </w:tc>
      </w:tr>
      <w:tr>
        <w:tc>
          <w:tcPr>
            <w:tcW w:type="dxa" w:w="864"/>
          </w:tcPr>
          <w:p>
            <w:pPr>
              <w:spacing w:after="60" w:before="40"/>
            </w:pPr>
            <w:r>
              <w:rPr>
                <w:b w:val="0"/>
                <w:sz w:val="20"/>
              </w:rPr>
              <w:t>B</w:t>
            </w:r>
          </w:p>
        </w:tc>
        <w:tc>
          <w:tcPr>
            <w:tcW w:type="dxa" w:w="4104"/>
          </w:tcPr>
          <w:p>
            <w:pPr>
              <w:spacing w:after="60" w:before="40"/>
            </w:pPr>
            <w:r>
              <w:rPr>
                <w:b w:val="0"/>
                <w:sz w:val="20"/>
              </w:rPr>
              <w:t>Shop: the brief includes helping shoppers.</w:t>
            </w:r>
          </w:p>
        </w:tc>
        <w:tc>
          <w:tcPr>
            <w:tcW w:type="dxa" w:w="4968"/>
          </w:tcPr>
          <w:p>
            <w:pPr>
              <w:spacing w:after="60" w:before="40"/>
            </w:pPr>
            <w:r>
              <w:rPr>
                <w:b w:val="0"/>
                <w:sz w:val="20"/>
              </w:rPr>
              <w:t>Accept a spoken or selected reason supported by the brief.</w:t>
            </w:r>
          </w:p>
        </w:tc>
      </w:tr>
      <w:tr>
        <w:tc>
          <w:tcPr>
            <w:tcW w:type="dxa" w:w="864"/>
          </w:tcPr>
          <w:p>
            <w:pPr>
              <w:spacing w:after="60" w:before="40"/>
            </w:pPr>
            <w:r>
              <w:rPr>
                <w:b w:val="0"/>
                <w:sz w:val="20"/>
              </w:rPr>
              <w:t>C</w:t>
            </w:r>
          </w:p>
        </w:tc>
        <w:tc>
          <w:tcPr>
            <w:tcW w:type="dxa" w:w="4104"/>
          </w:tcPr>
          <w:p>
            <w:pPr>
              <w:spacing w:after="60" w:before="40"/>
            </w:pPr>
            <w:r>
              <w:rPr>
                <w:b w:val="0"/>
                <w:sz w:val="20"/>
              </w:rPr>
              <w:t>Store: the brief includes checking boxes.</w:t>
            </w:r>
          </w:p>
        </w:tc>
        <w:tc>
          <w:tcPr>
            <w:tcW w:type="dxa" w:w="4968"/>
          </w:tcPr>
          <w:p>
            <w:pPr>
              <w:spacing w:after="60" w:before="40"/>
            </w:pPr>
            <w:r>
              <w:rPr>
                <w:b w:val="0"/>
                <w:sz w:val="20"/>
              </w:rPr>
              <w:t>Point out that store here means the stockroom setting.</w:t>
            </w:r>
          </w:p>
        </w:tc>
      </w:tr>
      <w:tr>
        <w:tc>
          <w:tcPr>
            <w:tcW w:type="dxa" w:w="864"/>
          </w:tcPr>
          <w:p>
            <w:pPr>
              <w:spacing w:after="60" w:before="40"/>
            </w:pPr>
            <w:r>
              <w:rPr>
                <w:b w:val="0"/>
                <w:sz w:val="20"/>
              </w:rPr>
              <w:t>D</w:t>
            </w:r>
          </w:p>
        </w:tc>
        <w:tc>
          <w:tcPr>
            <w:tcW w:type="dxa" w:w="4104"/>
          </w:tcPr>
          <w:p>
            <w:pPr>
              <w:spacing w:after="60" w:before="40"/>
            </w:pPr>
            <w:r>
              <w:rPr>
                <w:b w:val="0"/>
                <w:sz w:val="20"/>
              </w:rPr>
              <w:t>Store: the brief includes putting boxes in rows.</w:t>
            </w:r>
          </w:p>
        </w:tc>
        <w:tc>
          <w:tcPr>
            <w:tcW w:type="dxa" w:w="4968"/>
          </w:tcPr>
          <w:p>
            <w:pPr>
              <w:spacing w:after="60" w:before="40"/>
            </w:pPr>
            <w:r>
              <w:rPr>
                <w:b w:val="0"/>
                <w:sz w:val="20"/>
              </w:rPr>
              <w:t>This is a paper-card task; no lifting is required.</w:t>
            </w:r>
          </w:p>
        </w:tc>
      </w:tr>
      <w:tr>
        <w:tc>
          <w:tcPr>
            <w:tcW w:type="dxa" w:w="864"/>
          </w:tcPr>
          <w:p>
            <w:pPr>
              <w:spacing w:after="60" w:before="40"/>
            </w:pPr>
            <w:r>
              <w:rPr>
                <w:b w:val="0"/>
                <w:sz w:val="20"/>
              </w:rPr>
              <w:t>E</w:t>
            </w:r>
          </w:p>
        </w:tc>
        <w:tc>
          <w:tcPr>
            <w:tcW w:type="dxa" w:w="4104"/>
          </w:tcPr>
          <w:p>
            <w:pPr>
              <w:spacing w:after="60" w:before="40"/>
            </w:pPr>
            <w:r>
              <w:rPr>
                <w:b w:val="0"/>
                <w:sz w:val="20"/>
              </w:rPr>
              <w:t>Garden: the brief includes watering plants.</w:t>
            </w:r>
          </w:p>
        </w:tc>
        <w:tc>
          <w:tcPr>
            <w:tcW w:type="dxa" w:w="4968"/>
          </w:tcPr>
          <w:p>
            <w:pPr>
              <w:spacing w:after="60" w:before="40"/>
            </w:pPr>
            <w:r>
              <w:rPr>
                <w:b w:val="0"/>
                <w:sz w:val="20"/>
              </w:rPr>
              <w:t>Ask which part of the brief supports the match.</w:t>
            </w:r>
          </w:p>
        </w:tc>
      </w:tr>
      <w:tr>
        <w:tc>
          <w:tcPr>
            <w:tcW w:type="dxa" w:w="864"/>
          </w:tcPr>
          <w:p>
            <w:pPr>
              <w:spacing w:after="60" w:before="40"/>
            </w:pPr>
            <w:r>
              <w:rPr>
                <w:b w:val="0"/>
                <w:sz w:val="20"/>
              </w:rPr>
              <w:t>F</w:t>
            </w:r>
          </w:p>
        </w:tc>
        <w:tc>
          <w:tcPr>
            <w:tcW w:type="dxa" w:w="4104"/>
          </w:tcPr>
          <w:p>
            <w:pPr>
              <w:spacing w:after="60" w:before="40"/>
            </w:pPr>
            <w:r>
              <w:rPr>
                <w:b w:val="0"/>
                <w:sz w:val="20"/>
              </w:rPr>
              <w:t>Garden: the brief includes caring for plant beds.</w:t>
            </w:r>
          </w:p>
        </w:tc>
        <w:tc>
          <w:tcPr>
            <w:tcW w:type="dxa" w:w="4968"/>
          </w:tcPr>
          <w:p>
            <w:pPr>
              <w:spacing w:after="60" w:before="40"/>
            </w:pPr>
            <w:r>
              <w:rPr>
                <w:b w:val="0"/>
                <w:sz w:val="20"/>
              </w:rPr>
              <w:t>Explain bed as a patch of soil for plants; no gardening tools are used.</w:t>
            </w:r>
          </w:p>
        </w:tc>
      </w:tr>
    </w:tbl>
    <w:p>
      <w:pPr>
        <w:pStyle w:val="Heading1"/>
      </w:pPr>
      <w:r>
        <w:rPr>
          <w:b w:val="0"/>
        </w:rPr>
        <w:t>Model and hinge</w:t>
      </w:r>
    </w:p>
    <w:p>
      <w:r>
        <w:rPr>
          <w:b w:val="0"/>
        </w:rPr>
        <w:t>This is a made-up garden job. The worker cares for plants. This task says: give water to pots. That task fits the garden role. I check the role card to be sure. I chose it because plants need care.</w:t>
      </w:r>
    </w:p>
    <w:p>
      <w:r>
        <w:rPr>
          <w:b w:val="0"/>
        </w:rPr>
        <w:t>A fits the supplied garden role. B is the store role and C the shop role in this particular brief. Real jobs can share tasks; do not teach a universal rule from these fictional examples. Recheck with a new task card and ask what fact in the role brief supports the match.</w:t>
      </w:r>
    </w:p>
    <w:p>
      <w:pPr>
        <w:pStyle w:val="Heading1"/>
      </w:pPr>
      <w:r>
        <w:rPr>
          <w:b w:val="0"/>
        </w:rPr>
        <w:t>Individual evidence key</w:t>
      </w:r>
    </w:p>
    <w:p>
      <w:r>
        <w:rPr>
          <w:b w:val="0"/>
        </w:rPr>
        <w:t>Record two different roles and their linked task cards. Capture the learner’s own reason for the chosen role and the support used. The role choice has no right answer; the link between task and role must be supported by the brief. Record not yet for unattempted matches, and arrange another supported attempt. No real job choice or application is required.</w:t>
      </w:r>
    </w:p>
    <w:p>
      <w:r>
        <w:br w:type="page"/>
      </w:r>
    </w:p>
    <w:p>
      <w:pPr>
        <w:pStyle w:val="Heading1"/>
      </w:pPr>
      <w:r>
        <w:rPr>
          <w:b w:val="0"/>
        </w:rPr>
        <w:t>Feedback and next teaching</w:t>
      </w:r>
    </w:p>
    <w:p>
      <w:pPr>
        <w:pStyle w:val="Heading1"/>
      </w:pPr>
      <w:r>
        <w:rPr>
          <w:b w:val="0"/>
        </w:rPr>
        <w:t>Practical check</w:t>
      </w:r>
    </w:p>
    <w:p>
      <w:r>
        <w:rPr>
          <w:b w:val="0"/>
        </w:rPr>
        <w:t>The supplied brief maps A/B to shop, C/D to store and E/F to garden. Record two different role matches; two tasks for the same role do not meet the two-role objective. A reason can be spoken, selected or written. Accept a different defensible match only when the learner explains the link to a supplied brief; note the reasoning.</w:t>
      </w:r>
    </w:p>
    <w:p>
      <w:pPr>
        <w:pStyle w:val="Heading1"/>
      </w:pPr>
      <w:r>
        <w:rPr>
          <w:b w:val="0"/>
        </w:rPr>
        <w:t>Common misunderstandings</w:t>
      </w:r>
    </w:p>
    <w:p>
      <w:r>
        <w:rPr>
          <w:b w:val="0"/>
        </w:rPr>
        <w:t>Different jobs can share skills and tasks. Match these cards to these made-up briefs; do not claim only one kind of person can do a role. A preferred job picture is not evidence of understanding until a task link is shown.</w:t>
      </w:r>
    </w:p>
    <w:p>
      <w:pPr>
        <w:pStyle w:val="Heading1"/>
      </w:pPr>
      <w:r>
        <w:rPr>
          <w:b w:val="0"/>
        </w:rPr>
        <w:t>Teaching boundary</w:t>
      </w:r>
    </w:p>
    <w:p>
      <w:r>
        <w:rPr>
          <w:b w:val="0"/>
        </w:rPr>
        <w:t>All worker profiles, job roles, employers and settings are fictional. Use only the supplied classroom tasks; no real employers, applications or personal contact details. No names are required. Do not ask about family, body or private experiences. Respect a choice to pause or respond privately. No forced pair work or public performance. Follow the setting’s safeguarding route if a concern is raised.</w:t>
      </w:r>
    </w:p>
    <w:p>
      <w:pPr>
        <w:pStyle w:val="Heading1"/>
      </w:pPr>
      <w:r>
        <w:rPr>
          <w:b w:val="0"/>
        </w:rPr>
        <w:t>Feedback and follow-up</w:t>
      </w:r>
    </w:p>
    <w:p>
      <w:r>
        <w:rPr>
          <w:b w:val="0"/>
        </w:rPr>
        <w:t>Use VF · WS · I · NS+ (Yellow Box) · // self-edit · ? read back · R responded · E evidence in the evidence record. R requires Voice, Audience, a specific NS+ prompt and the learner response in their own colour. E is recorded only when actual evidence is banked. Record support and unfinished work; blank forms and adult models are not completed learner evidence.</w:t>
      </w:r>
    </w:p>
    <w:p>
      <w:r>
        <w:rPr>
          <w:b w:val="0"/>
        </w:rPr>
        <w:t>If work is incomplete, name the gap and arrange a supported follow-up. No qualification completion is claimed.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CAREERS-BUILD-A2-W02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Jobs and their tasks</dc:title>
  <dc:subject>CAREERS-BUILD-A2-W02</dc:subject>
  <dc:creator/>
  <cp:keywords>Year A · Careers</cp:keywords>
  <dc:description>Year A · Careers</dc:description>
  <cp:lastModifiedBy/>
  <cp:revision>1</cp:revision>
  <dcterms:created xsi:type="dcterms:W3CDTF">2013-12-23T23:15:00Z</dcterms:created>
  <dcterms:modified xsi:type="dcterms:W3CDTF">2013-12-23T23:15:00Z</dcterms:modified>
  <cp:category/>
</cp:coreProperties>
</file>