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Feelings and body clues</w:t>
      </w:r>
    </w:p>
    <w:p>
      <w:r>
        <w:rPr>
          <w:b w:val="0"/>
        </w:rPr>
        <w:t>These are teaching guides. Record the learner’s actual response and support. All cards describe fictional young people, families and support roles. Never invite personal comparisons.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104"/>
        <w:gridCol w:w="4968"/>
      </w:tblGrid>
      <w:tr>
        <w:trPr>
          <w:tblHeader/>
        </w:trPr>
        <w:tc>
          <w:tcPr>
            <w:tcW w:type="dxa" w:w="864"/>
          </w:tcPr>
          <w:p>
            <w:pPr>
              <w:spacing w:after="60" w:before="40"/>
            </w:pPr>
            <w:r>
              <w:rPr>
                <w:b/>
                <w:sz w:val="20"/>
              </w:rPr>
              <w:t>Card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/>
                <w:sz w:val="20"/>
              </w:rPr>
              <w:t>Judgement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0"/>
              </w:rPr>
              <w:t>Possible action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Tense or worried could fit. Pause and ask for help.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the stated difficulty and tight hands. Accept a question or a small-step request with a reason.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Unsure or tense could fit. Ask a question or seek help.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key need is the unclear next step. Do not demand the exact emotion word.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Calm or comfortable could fit. Continue by choice, with help available.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Comfort is supported by the person’s words. The body clue alone would not prove it.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Excited, worried or unsure could fit. Ask or pause if wanted.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There is no single correct feeling. The context and the person’s own words matter.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helpful response that respects choice.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pause is not a punishment or something to earn.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Ask another trusted adult or use the agreed help route.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first unsuccessful request does not mean the person must stop seeking help.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A young person says the task feels hard. Their hands feel tight in this story. They may feel tense or unsure. They could ask for a short pause. Then an adult could show one step. A clue does not prove how all people feel.</w:t>
      </w:r>
    </w:p>
    <w:p>
      <w:r>
        <w:rPr>
          <w:b w:val="0"/>
        </w:rPr>
        <w:t>A is a helpful response to the stated difficulty. B ignores the request for support. C treats an appearance as proof. Tension, a warm face or a fast heartbeat can have different meanings. Do not diagnose or ask learners to check their own bodies. Reteach with the uncertain-instruction card: a question or step-by-step help can fit.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Record two distinct scenarios, a possible feeling and a stated clue for each, a helpful response and the learner’s reason. At least one response identifies a help or pause action. Do not score by matching a face to one fixed emotion. Record exact prompts and later changes. No personal disclosure or demonstration of a bodily response is evidence required by this lesson.</w:t>
      </w:r>
    </w:p>
    <w:p>
      <w:r>
        <w:br w:type="page"/>
      </w:r>
    </w:p>
    <w:p>
      <w:pPr>
        <w:pStyle w:val="Heading1"/>
      </w:pPr>
      <w:r>
        <w:rPr>
          <w:b w:val="0"/>
        </w:rPr>
        <w:t>Feedback and next teaching</w:t>
      </w:r>
    </w:p>
    <w:p>
      <w:pPr>
        <w:pStyle w:val="Heading1"/>
      </w:pPr>
      <w:r>
        <w:rPr>
          <w:b w:val="0"/>
        </w:rPr>
        <w:t>Practical check</w:t>
      </w:r>
    </w:p>
    <w:p>
      <w:r>
        <w:rPr>
          <w:b w:val="0"/>
        </w:rPr>
        <w:t>Use two different stories, normally A and B. Keep the feeling word, stated clue, help choice and reason for each. Accept more than one plausible feeling. C explores comfort; D demonstrates that a fast heartbeat does not identify one feeling. Card E models a helpful adult response. F supplies a further help route.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body clue can have more than one meaning. People can feel differently in the same situation. Feeling calm does not prove that a situation is safe, and feeling tense does not prove danger. The task is to consider the story and a helpful response, not diagnose or test a body.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Every teaching prompt concerns a fictional young person. Never ask learners about their own bodies, families or experiences, or use a real person as the case. Read fictional cards without inviting comparison with home. No touching, body checking, forced eye contact, acting out distress or personal role-play. Allow a pass, quiet response or pause. If a learner raises a personal concern, follow the setting’s safeguarding procedure; do not turn the disclosure into lesson evidence. Staff use the setting’s agreed support arrangements.</w:t>
      </w:r>
    </w:p>
    <w:p>
      <w:pPr>
        <w:pStyle w:val="Heading1"/>
      </w:pPr>
      <w:r>
        <w:rPr>
          <w:b w:val="0"/>
        </w:rPr>
        <w:t>Feedback and follow-up</w:t>
      </w:r>
    </w:p>
    <w:p>
      <w:r>
        <w:rPr>
          <w:b w:val="0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r>
        <w:rPr>
          <w:b w:val="0"/>
        </w:rPr>
        <w:t>If work is incomplete, name the gap and arrange a supported follow-up. No qualification completion is claimed.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