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Teacher cover</w:t>
      </w:r>
    </w:p>
    <w:p>
      <w:pPr>
        <w:pStyle w:val="Heading1"/>
      </w:pPr>
      <w:r>
        <w:t>Plan a healthy snack</w:t>
      </w:r>
    </w:p>
    <w:p>
      <w:r>
        <w:t>Friday 6 November 2026 · one 40-minute lesson · Year A</w:t>
      </w:r>
    </w:p>
    <w:p>
      <w:r>
        <w:t>Term theme: Identity &amp; Belonging</w:t>
      </w:r>
    </w:p>
    <w:p>
      <w:r>
        <w:t>Thread tags: SMSC S/So (M/C: none); British Values IL/MR (D/RL/T: none).</w:t>
      </w:r>
    </w:p>
    <w:p>
      <w:pPr>
        <w:pStyle w:val="Heading2"/>
      </w:pPr>
      <w:r>
        <w:t>Objective</w:t>
      </w:r>
    </w:p>
    <w:p>
      <w:r>
        <w:t>Plan a simple healthy snack.</w:t>
      </w:r>
    </w:p>
    <w:p>
      <w:r>
        <w:t>Source: scheme_references/BUILD_SOW.xlsx; BUILD Weekly - Autumn, C137. Strand and Friday slot confirmed by the owner.</w:t>
      </w:r>
    </w:p>
    <w:p>
      <w:pPr>
        <w:pStyle w:val="Heading2"/>
      </w:pPr>
      <w:r>
        <w:t>Big question and success checks</w:t>
      </w:r>
    </w:p>
    <w:p>
      <w:r>
        <w:t>What do I need to plan a snack?</w:t>
      </w:r>
    </w:p>
    <w:p>
      <w:r>
        <w:t>Choose a snack and a drink. Choose the kit and put the steps in order. Show one check to make with an adult.</w:t>
      </w:r>
    </w:p>
    <w:p>
      <w:pPr>
        <w:pStyle w:val="Heading2"/>
      </w:pPr>
      <w:r>
        <w:t>Evidence</w:t>
      </w:r>
    </w:p>
    <w:p>
      <w:r>
        <w:t>VOCATIONAL-BUILD-A2-W01-E1: An individual snack plan showing food, drink, a reason, equipment, ordered steps and an adult check; actual response mode, support and a next step are recorded.</w:t>
      </w:r>
    </w:p>
    <w:p>
      <w:pPr>
        <w:pStyle w:val="Heading2"/>
      </w:pPr>
      <w:r>
        <w:t>Prepare</w:t>
      </w:r>
    </w:p>
    <w:p>
      <w:r>
        <w:t>Print the two Evidence Sheet and two Support Cards pages, one Vocabulary Mat and a separate adult model set. Cut cards in advance if helpful. Use paper cards only: no food preparation, tasting, heat or blades. Provide usual aids and a clear work space.</w:t>
      </w:r>
    </w:p>
    <w:p>
      <w:pPr>
        <w:pStyle w:val="Heading2"/>
      </w:pPr>
      <w:r>
        <w:t>Calendar and progression</w:t>
      </w:r>
    </w:p>
    <w:p>
      <w:r>
        <w:t>Year A. Autumn 2 Week 1: 2–6 November 2026. Friday 6 November 2026, one 40-minute taught lesson. No clock time is specified. Weeks 1–6 are formative; Week 7 is assessing.</w:t>
      </w:r>
    </w:p>
    <w:p>
      <w:r>
        <w:t>Independence / vocational strand. The community-project strand is not used. Week 1 plans a snack; Week 2 practises washing up and cleaning after a task. This does not teach the later recipe objective.</w:t>
      </w:r>
    </w:p>
    <w:p>
      <w:pPr>
        <w:pStyle w:val="Heading2"/>
      </w:pPr>
      <w:r>
        <w:t>Careers</w:t>
      </w:r>
    </w:p>
    <w:p>
      <w:r>
        <w:t>This helps me plan a task and check what I need.</w:t>
      </w:r>
    </w:p>
    <w:p>
      <w:r>
        <w:br w:type="page"/>
      </w:r>
    </w:p>
    <w:p>
      <w:pPr>
        <w:pStyle w:val="Title"/>
      </w:pPr>
      <w:r>
        <w:t>Teaching sequence</w:t>
      </w:r>
    </w:p>
    <w:tbl>
      <w:tblPr>
        <w:tblStyle w:val="TableGrid"/>
        <w:tblW w:type="auto" w:w="0"/>
        <w:tblLayout w:type="fixed"/>
        <w:tblLook w:firstColumn="1" w:firstRow="1" w:lastColumn="0" w:lastRow="0" w:noHBand="0" w:noVBand="1" w:val="04A0"/>
      </w:tblPr>
      <w:tblGrid>
        <w:gridCol w:w="737"/>
        <w:gridCol w:w="680"/>
        <w:gridCol w:w="7654"/>
      </w:tblGrid>
      <w:tr>
        <w:trPr>
          <w:cantSplit/>
        </w:trPr>
        <w:tc>
          <w:tcPr>
            <w:tcW w:type="dxa" w:w="737"/>
            <w:shd w:fill="E4F0EF"/>
          </w:tcPr>
          <w:p>
            <w:pPr>
              <w:spacing w:after="100" w:before="60"/>
            </w:pPr>
            <w:r>
              <w:rPr>
                <w:b/>
              </w:rPr>
              <w:t>Slide</w:t>
            </w:r>
          </w:p>
        </w:tc>
        <w:tc>
          <w:tcPr>
            <w:tcW w:type="dxa" w:w="680"/>
            <w:shd w:fill="E4F0EF"/>
          </w:tcPr>
          <w:p>
            <w:pPr>
              <w:spacing w:after="100" w:before="60"/>
            </w:pPr>
            <w:r>
              <w:rPr>
                <w:b/>
              </w:rPr>
              <w:t>Min</w:t>
            </w:r>
          </w:p>
        </w:tc>
        <w:tc>
          <w:tcPr>
            <w:tcW w:type="dxa" w:w="7654"/>
            <w:shd w:fill="E4F0EF"/>
          </w:tcPr>
          <w:p>
            <w:pPr>
              <w:spacing w:after="100" w:before="60"/>
            </w:pPr>
            <w:r>
              <w:rPr>
                <w:b/>
              </w:rPr>
              <w:t>Teaching action</w:t>
            </w:r>
          </w:p>
        </w:tc>
      </w:tr>
      <w:tr>
        <w:trPr>
          <w:cantSplit/>
        </w:trPr>
        <w:tc>
          <w:tcPr>
            <w:tcW w:type="dxa" w:w="737"/>
          </w:tcPr>
          <w:p>
            <w:pPr>
              <w:spacing w:after="100" w:before="60"/>
            </w:pPr>
            <w:r>
              <w:t>1</w:t>
            </w:r>
          </w:p>
        </w:tc>
        <w:tc>
          <w:tcPr>
            <w:tcW w:type="dxa" w:w="680"/>
          </w:tcPr>
          <w:p>
            <w:pPr>
              <w:spacing w:after="100" w:before="60"/>
            </w:pPr>
            <w:r>
              <w:t>0</w:t>
            </w:r>
          </w:p>
        </w:tc>
        <w:tc>
          <w:tcPr>
            <w:tcW w:type="dxa" w:w="7654"/>
          </w:tcPr>
          <w:p>
            <w:pPr>
              <w:spacing w:after="100" w:before="60"/>
            </w:pPr>
            <w:r>
              <w:t>Read the objective, question, theme and careers line.</w:t>
            </w:r>
          </w:p>
        </w:tc>
      </w:tr>
      <w:tr>
        <w:trPr>
          <w:cantSplit/>
        </w:trPr>
        <w:tc>
          <w:tcPr>
            <w:tcW w:type="dxa" w:w="737"/>
          </w:tcPr>
          <w:p>
            <w:pPr>
              <w:spacing w:after="100" w:before="60"/>
            </w:pPr>
            <w:r>
              <w:t>2</w:t>
            </w:r>
          </w:p>
        </w:tc>
        <w:tc>
          <w:tcPr>
            <w:tcW w:type="dxa" w:w="680"/>
          </w:tcPr>
          <w:p>
            <w:pPr>
              <w:spacing w:after="100" w:before="60"/>
            </w:pPr>
            <w:r>
              <w:t>3</w:t>
            </w:r>
          </w:p>
        </w:tc>
        <w:tc>
          <w:tcPr>
            <w:tcW w:type="dxa" w:w="7654"/>
          </w:tcPr>
          <w:p>
            <w:pPr>
              <w:spacing w:after="100" w:before="60"/>
            </w:pPr>
            <w:r>
              <w:t>Offer a pause, chosen response mode and usual aid. Record any access help.</w:t>
            </w:r>
          </w:p>
        </w:tc>
      </w:tr>
      <w:tr>
        <w:trPr>
          <w:cantSplit/>
        </w:trPr>
        <w:tc>
          <w:tcPr>
            <w:tcW w:type="dxa" w:w="737"/>
          </w:tcPr>
          <w:p>
            <w:pPr>
              <w:spacing w:after="100" w:before="60"/>
            </w:pPr>
            <w:r>
              <w:t>3</w:t>
            </w:r>
          </w:p>
        </w:tc>
        <w:tc>
          <w:tcPr>
            <w:tcW w:type="dxa" w:w="680"/>
          </w:tcPr>
          <w:p>
            <w:pPr>
              <w:spacing w:after="100" w:before="60"/>
            </w:pPr>
            <w:r>
              <w:t>3</w:t>
            </w:r>
          </w:p>
        </w:tc>
        <w:tc>
          <w:tcPr>
            <w:tcW w:type="dxa" w:w="7654"/>
          </w:tcPr>
          <w:p>
            <w:pPr>
              <w:spacing w:after="100" w:before="60"/>
            </w:pPr>
            <w:r>
              <w:t>Use Support Cards page 1 to distinguish food, drink and equipment. Accept pointing or sorting. Do not use real food.</w:t>
            </w:r>
          </w:p>
        </w:tc>
      </w:tr>
      <w:tr>
        <w:trPr>
          <w:cantSplit/>
        </w:trPr>
        <w:tc>
          <w:tcPr>
            <w:tcW w:type="dxa" w:w="737"/>
          </w:tcPr>
          <w:p>
            <w:pPr>
              <w:spacing w:after="100" w:before="60"/>
            </w:pPr>
            <w:r>
              <w:t>4</w:t>
            </w:r>
          </w:p>
        </w:tc>
        <w:tc>
          <w:tcPr>
            <w:tcW w:type="dxa" w:w="680"/>
          </w:tcPr>
          <w:p>
            <w:pPr>
              <w:spacing w:after="100" w:before="60"/>
            </w:pPr>
            <w:r>
              <w:t>0</w:t>
            </w:r>
          </w:p>
        </w:tc>
        <w:tc>
          <w:tcPr>
            <w:tcW w:type="dxa" w:w="7654"/>
          </w:tcPr>
          <w:p>
            <w:pPr>
              <w:spacing w:after="100" w:before="60"/>
            </w:pPr>
            <w:r>
              <w:t>Read the objective and three success checks. These are formative teaching tasks.</w:t>
            </w:r>
          </w:p>
        </w:tc>
      </w:tr>
      <w:tr>
        <w:trPr>
          <w:cantSplit/>
        </w:trPr>
        <w:tc>
          <w:tcPr>
            <w:tcW w:type="dxa" w:w="737"/>
          </w:tcPr>
          <w:p>
            <w:pPr>
              <w:spacing w:after="100" w:before="60"/>
            </w:pPr>
            <w:r>
              <w:t>5</w:t>
            </w:r>
          </w:p>
        </w:tc>
        <w:tc>
          <w:tcPr>
            <w:tcW w:type="dxa" w:w="680"/>
          </w:tcPr>
          <w:p>
            <w:pPr>
              <w:spacing w:after="100" w:before="60"/>
            </w:pPr>
            <w:r>
              <w:t>5</w:t>
            </w:r>
          </w:p>
        </w:tc>
        <w:tc>
          <w:tcPr>
            <w:tcW w:type="dxa" w:w="7654"/>
          </w:tcPr>
          <w:p>
            <w:pPr>
              <w:spacing w:after="100" w:before="60"/>
            </w:pPr>
            <w:r>
              <w:t>Use the separate adult model set. Model pear, water, plate and cup; order the four planned snack steps.</w:t>
            </w:r>
          </w:p>
        </w:tc>
      </w:tr>
      <w:tr>
        <w:trPr>
          <w:cantSplit/>
        </w:trPr>
        <w:tc>
          <w:tcPr>
            <w:tcW w:type="dxa" w:w="737"/>
          </w:tcPr>
          <w:p>
            <w:pPr>
              <w:spacing w:after="100" w:before="60"/>
            </w:pPr>
            <w:r>
              <w:t>6</w:t>
            </w:r>
          </w:p>
        </w:tc>
        <w:tc>
          <w:tcPr>
            <w:tcW w:type="dxa" w:w="680"/>
          </w:tcPr>
          <w:p>
            <w:pPr>
              <w:spacing w:after="100" w:before="60"/>
            </w:pPr>
            <w:r>
              <w:t>5</w:t>
            </w:r>
          </w:p>
        </w:tc>
        <w:tc>
          <w:tcPr>
            <w:tcW w:type="dxa" w:w="7654"/>
          </w:tcPr>
          <w:p>
            <w:pPr>
              <w:spacing w:after="100" w:before="60"/>
            </w:pPr>
            <w:r>
              <w:t>Show the empty kit box on the adult plan. Ask: “Is the plan ready, or do we need to add the kit?” Expected: add the kit, such as a plate and cup.</w:t>
            </w:r>
          </w:p>
        </w:tc>
      </w:tr>
      <w:tr>
        <w:trPr>
          <w:cantSplit/>
        </w:trPr>
        <w:tc>
          <w:tcPr>
            <w:tcW w:type="dxa" w:w="737"/>
          </w:tcPr>
          <w:p>
            <w:pPr>
              <w:spacing w:after="100" w:before="60"/>
            </w:pPr>
            <w:r>
              <w:t>7</w:t>
            </w:r>
          </w:p>
        </w:tc>
        <w:tc>
          <w:tcPr>
            <w:tcW w:type="dxa" w:w="680"/>
          </w:tcPr>
          <w:p>
            <w:pPr>
              <w:spacing w:after="100" w:before="60"/>
            </w:pPr>
            <w:r>
              <w:t>12</w:t>
            </w:r>
          </w:p>
        </w:tc>
        <w:tc>
          <w:tcPr>
            <w:tcW w:type="dxa" w:w="7654"/>
          </w:tcPr>
          <w:p>
            <w:pPr>
              <w:spacing w:after="100" w:before="60"/>
            </w:pPr>
            <w:r>
              <w:t>Choose food, drink and kit. Order four planned snack steps. Give a reason and check with an adult.</w:t>
            </w:r>
          </w:p>
        </w:tc>
      </w:tr>
      <w:tr>
        <w:trPr>
          <w:cantSplit/>
        </w:trPr>
        <w:tc>
          <w:tcPr>
            <w:tcW w:type="dxa" w:w="737"/>
          </w:tcPr>
          <w:p>
            <w:pPr>
              <w:spacing w:after="100" w:before="60"/>
            </w:pPr>
            <w:r>
              <w:t>8</w:t>
            </w:r>
          </w:p>
        </w:tc>
        <w:tc>
          <w:tcPr>
            <w:tcW w:type="dxa" w:w="680"/>
          </w:tcPr>
          <w:p>
            <w:pPr>
              <w:spacing w:after="100" w:before="60"/>
            </w:pPr>
            <w:r>
              <w:t>6</w:t>
            </w:r>
          </w:p>
        </w:tc>
        <w:tc>
          <w:tcPr>
            <w:tcW w:type="dxa" w:w="7654"/>
          </w:tcPr>
          <w:p>
            <w:pPr>
              <w:spacing w:after="100" w:before="60"/>
            </w:pPr>
            <w:r>
              <w:t>Keep the plan, reason, adult check and exact help used.</w:t>
            </w:r>
          </w:p>
        </w:tc>
      </w:tr>
      <w:tr>
        <w:trPr>
          <w:cantSplit/>
        </w:trPr>
        <w:tc>
          <w:tcPr>
            <w:tcW w:type="dxa" w:w="737"/>
          </w:tcPr>
          <w:p>
            <w:pPr>
              <w:spacing w:after="100" w:before="60"/>
            </w:pPr>
            <w:r>
              <w:t>9</w:t>
            </w:r>
          </w:p>
        </w:tc>
        <w:tc>
          <w:tcPr>
            <w:tcW w:type="dxa" w:w="680"/>
          </w:tcPr>
          <w:p>
            <w:pPr>
              <w:spacing w:after="100" w:before="60"/>
            </w:pPr>
            <w:r>
              <w:t>4</w:t>
            </w:r>
          </w:p>
        </w:tc>
        <w:tc>
          <w:tcPr>
            <w:tcW w:type="dxa" w:w="7654"/>
          </w:tcPr>
          <w:p>
            <w:pPr>
              <w:spacing w:after="100" w:before="60"/>
            </w:pPr>
            <w:r>
              <w:t>Give one prompt; retain the first plan and new response. Put cards back.</w:t>
            </w:r>
          </w:p>
        </w:tc>
      </w:tr>
      <w:tr>
        <w:trPr>
          <w:cantSplit/>
        </w:trPr>
        <w:tc>
          <w:tcPr>
            <w:tcW w:type="dxa" w:w="737"/>
          </w:tcPr>
          <w:p>
            <w:pPr>
              <w:spacing w:after="100" w:before="60"/>
            </w:pPr>
            <w:r>
              <w:t>10</w:t>
            </w:r>
          </w:p>
        </w:tc>
        <w:tc>
          <w:tcPr>
            <w:tcW w:type="dxa" w:w="680"/>
          </w:tcPr>
          <w:p>
            <w:pPr>
              <w:spacing w:after="100" w:before="60"/>
            </w:pPr>
            <w:r>
              <w:t>2</w:t>
            </w:r>
          </w:p>
        </w:tc>
        <w:tc>
          <w:tcPr>
            <w:tcW w:type="dxa" w:w="7654"/>
          </w:tcPr>
          <w:p>
            <w:pPr>
              <w:spacing w:after="100" w:before="60"/>
            </w:pPr>
            <w:r>
              <w:t>Ask for one check and one next step. A point, sign, drawing, speech or aid is valid.</w:t>
            </w:r>
          </w:p>
        </w:tc>
      </w:tr>
      <w:tr>
        <w:trPr>
          <w:cantSplit/>
        </w:trPr>
        <w:tc>
          <w:tcPr>
            <w:tcW w:type="dxa" w:w="737"/>
          </w:tcPr>
          <w:p>
            <w:pPr>
              <w:spacing w:after="100" w:before="60"/>
            </w:pPr>
            <w:r>
              <w:t>11</w:t>
            </w:r>
          </w:p>
        </w:tc>
        <w:tc>
          <w:tcPr>
            <w:tcW w:type="dxa" w:w="680"/>
          </w:tcPr>
          <w:p>
            <w:pPr>
              <w:spacing w:after="100" w:before="60"/>
            </w:pPr>
            <w:r>
              <w:t>0</w:t>
            </w:r>
          </w:p>
        </w:tc>
        <w:tc>
          <w:tcPr>
            <w:tcW w:type="dxa" w:w="7654"/>
          </w:tcPr>
          <w:p>
            <w:pPr>
              <w:spacing w:after="100" w:before="60"/>
            </w:pPr>
            <w:r>
              <w:t>Keep the word mat available and explain words in the task.</w:t>
            </w:r>
          </w:p>
        </w:tc>
      </w:tr>
      <w:tr>
        <w:trPr>
          <w:cantSplit/>
        </w:trPr>
        <w:tc>
          <w:tcPr>
            <w:tcW w:type="dxa" w:w="737"/>
          </w:tcPr>
          <w:p>
            <w:pPr>
              <w:spacing w:after="100" w:before="60"/>
            </w:pPr>
            <w:r>
              <w:t>12</w:t>
            </w:r>
          </w:p>
        </w:tc>
        <w:tc>
          <w:tcPr>
            <w:tcW w:type="dxa" w:w="680"/>
          </w:tcPr>
          <w:p>
            <w:pPr>
              <w:spacing w:after="100" w:before="60"/>
            </w:pPr>
            <w:r>
              <w:t>0</w:t>
            </w:r>
          </w:p>
        </w:tc>
        <w:tc>
          <w:tcPr>
            <w:tcW w:type="dxa" w:w="7654"/>
          </w:tcPr>
          <w:p>
            <w:pPr>
              <w:spacing w:after="100" w:before="60"/>
            </w:pPr>
            <w:r>
              <w:t>Hidden staff brief. Read the practical boundaries and key before teaching.</w:t>
            </w:r>
          </w:p>
        </w:tc>
      </w:tr>
    </w:tbl>
    <w:p>
      <w:pPr>
        <w:pStyle w:val="Heading2"/>
      </w:pPr>
      <w:r>
        <w:t>Hinge response and reteach</w:t>
      </w:r>
    </w:p>
    <w:p>
      <w:r>
        <w:t>Show the empty kit box on the adult plan. Ask: “Is the plan ready, or do we need to add the kit?” Expected: add the kit, such as a plate and cup. If unsure, model one kit choice, then recheck with a different food card. Record the prompt; do not count the model as the learner’s own plan.</w:t>
      </w:r>
    </w:p>
    <w:p>
      <w:pPr>
        <w:pStyle w:val="Heading2"/>
      </w:pPr>
      <w:r>
        <w:t>Routes</w:t>
      </w:r>
    </w:p>
    <w:p>
      <w:r>
        <w:t>Supported: Offer two suitable food cards and two kit cards at a time. Read the words, allow pointing or an aid and scribe exact choices. Use first/then. Record each prompt and supplied choice.</w:t>
      </w:r>
    </w:p>
    <w:p>
      <w:r>
        <w:t>Independent: Choose food, drink and kit; order four steps; give a reason and identify an adult check. Review the completed plan and record help used.</w:t>
      </w:r>
    </w:p>
    <w:p>
      <w:r>
        <w:t>Aspire: Complete the same plan, then suggest a suitable change if an item is not available. Explain why the new plan still works. No extra food preparation is required.</w:t>
      </w:r>
    </w:p>
    <w:p>
      <w:r>
        <w:br w:type="page"/>
      </w:r>
    </w:p>
    <w:p>
      <w:pPr>
        <w:pStyle w:val="Title"/>
      </w:pPr>
      <w:r>
        <w:t>Safe teaching and evidence</w:t>
      </w:r>
    </w:p>
    <w:p>
      <w:pPr>
        <w:pStyle w:val="Heading2"/>
      </w:pPr>
      <w:r>
        <w:t>Boundaries and practical support</w:t>
      </w:r>
    </w:p>
    <w:p>
      <w:r>
        <w:t>This is a planning lesson with paper cards; no food is prepared or eaten. Do not ask learners to disclose allergies, medical needs, weight or home food access. Before any later food activity, staff must check individual allergy, dietary, texture and swallowing needs through the setting’s private procedures. Offer suitable equivalent choices. Never label a person or a family’s food choices as good or bad.</w:t>
      </w:r>
    </w:p>
    <w:p>
      <w:pPr>
        <w:pStyle w:val="Heading2"/>
      </w:pPr>
      <w:r>
        <w:t>Evidence and feedback</w:t>
      </w:r>
    </w:p>
    <w:p>
      <w:r>
        <w:t>An individual snack plan showing food, drink, a reason, equipment, ordered steps and an adult check; actual response mode, support and a next step are recorded.</w:t>
      </w:r>
    </w:p>
    <w:p>
      <w:r>
        <w:t>Use VF · WS · I · NS+ (Yellow Box) · // self-edit · ? read back · R responded · E evidence. R requires Voice, Audience, a specific NS+ prompt and the learner response in their own colour. E is used only when actual work is banked. Keep the first try and any later change separate.</w:t>
      </w:r>
    </w:p>
    <w:p>
      <w:r>
        <w:t>Keep the first attempt, actual help and any later response. No qualification mapping, attainment level or completion is inferred. Staff confirm any mapping from real evidence.</w:t>
      </w:r>
    </w:p>
    <w:p>
      <w:pPr>
        <w:pStyle w:val="Heading2"/>
      </w:pPr>
      <w:r>
        <w:t>Voice, theme and threads</w:t>
      </w:r>
    </w:p>
    <w:p>
      <w:r>
        <w:t>Offer speech, pointing, drawing, writing or the usual aid. Ask what help makes the task accessible. Respect a pause without demanding an explanation.</w:t>
      </w:r>
    </w:p>
    <w:p>
      <w:r>
        <w:t>S: reflect on a useful daily skill. So: share task talk and care for shared equipment. IL: choose a response mode and ask for help. MR: respect different needs and give each person time. No other thread is claimed.</w:t>
      </w:r>
    </w:p>
    <w:p>
      <w:pPr>
        <w:pStyle w:val="Heading2"/>
      </w:pPr>
      <w:r>
        <w:t>Communication portfolio</w:t>
      </w:r>
    </w:p>
    <w:p>
      <w:r>
        <w:t>A task explanation or request for help may be offered to the Communication portfolio. Keep the learner’s actual response and support; staff confirm any mapping.</w:t>
      </w:r>
    </w:p>
    <w:p>
      <w:pPr>
        <w:pStyle w:val="Heading2"/>
      </w:pPr>
      <w:r>
        <w:t>Reflection</w:t>
      </w:r>
    </w:p>
    <w:p>
      <w:r>
        <w:t>Next teaching need: ________________________________________</w:t>
      </w:r>
    </w:p>
    <w:p>
      <w:r>
        <w:t>Learner request and change made: ___________________________</w:t>
      </w:r>
    </w:p>
    <w:p>
      <w:r>
        <w:t>Provenance: selected workbook rows and the owner’s strand, date and Friday-slot decision. Tasks, examples and careers lines are newly authored; they are not quoted scheme criteria.</w:t>
      </w:r>
    </w:p>
    <w:sectPr w:rsidR="00FC693F" w:rsidRPr="0006063C" w:rsidSect="00034616">
      <w:headerReference w:type="default" r:id="rId9"/>
      <w:footerReference w:type="default" r:id="rId10"/>
      <w:pgSz w:w="11909" w:h="16834"/>
      <w:pgMar w:top="792" w:right="893" w:bottom="792" w:left="893" w:header="317" w:footer="31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3"/>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VOCATIONAL-BUILD-A2-W01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b w:val="0"/>
      <w:bCs/>
      <w:color w:val="183E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83E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rial" w:hAnsi="Arial"/>
      <w:color w:val="183E4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Lesson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Lesson resource</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a healthy snack</dc:title>
  <dc:subject>VOCATIONAL-BUILD-A2-W01 · Year A</dc:subject>
  <dc:creator>Lesson resource</dc:creator>
  <cp:keywords>Year A · Careers</cp:keywords>
  <dc:description/>
  <cp:lastModifiedBy>Lesson resource</cp:lastModifiedBy>
  <cp:revision>1</cp:revision>
  <dcterms:created xsi:type="dcterms:W3CDTF">2013-12-23T23:15:00Z</dcterms:created>
  <dcterms:modified xsi:type="dcterms:W3CDTF">2013-12-23T23:15:00Z</dcterms:modified>
  <cp:category/>
</cp:coreProperties>
</file>