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answers and observation</w:t>
      </w:r>
    </w:p>
    <w:p>
      <w:pPr>
        <w:pStyle w:val="Heading1"/>
      </w:pPr>
      <w:r>
        <w:t>Plan a healthy snack</w:t>
      </w:r>
    </w:p>
    <w:p>
      <w:r>
        <w:t>These are guides for teaching, not prefilled learner evidence. Use a separate adult model. Accept a suitable alternative with a reason. Record access help and content prompts.</w:t>
      </w:r>
    </w:p>
    <w:p>
      <w:pPr>
        <w:pStyle w:val="Heading2"/>
      </w:pPr>
      <w:r>
        <w:t>Model and task key</w:t>
      </w:r>
    </w:p>
    <w:p>
      <w:r>
        <w:t>This is my paper plan. No food is used. I choose a pear and a drink of water. Fruit can be part of a healthy snack. I need a plate and a cup. First check food, wash hands and get clean kit. Then get the snack ready with an adult and clear up.</w:t>
      </w:r>
    </w:p>
    <w:tbl>
      <w:tblPr>
        <w:tblStyle w:val="TableGrid"/>
        <w:tblW w:type="auto" w:w="0"/>
        <w:tblLayout w:type="fixed"/>
        <w:tblLook w:firstColumn="1" w:firstRow="1" w:lastColumn="0" w:lastRow="0" w:noHBand="0" w:noVBand="1" w:val="04A0"/>
      </w:tblPr>
      <w:tblGrid>
        <w:gridCol w:w="1814"/>
        <w:gridCol w:w="7257"/>
      </w:tblGrid>
      <w:tr>
        <w:trPr>
          <w:cantSplit/>
        </w:trPr>
        <w:tc>
          <w:tcPr>
            <w:tcW w:type="dxa" w:w="1814"/>
            <w:shd w:fill="E4F0EF"/>
          </w:tcPr>
          <w:p>
            <w:pPr>
              <w:spacing w:after="100" w:before="60"/>
            </w:pPr>
            <w:r>
              <w:rPr>
                <w:b/>
              </w:rPr>
              <w:t>Check</w:t>
            </w:r>
          </w:p>
        </w:tc>
        <w:tc>
          <w:tcPr>
            <w:tcW w:type="dxa" w:w="7257"/>
            <w:shd w:fill="E4F0EF"/>
          </w:tcPr>
          <w:p>
            <w:pPr>
              <w:spacing w:after="100" w:before="60"/>
            </w:pPr>
            <w:r>
              <w:rPr>
                <w:b/>
              </w:rPr>
              <w:t>Teaching guide</w:t>
            </w:r>
          </w:p>
        </w:tc>
      </w:tr>
      <w:tr>
        <w:trPr>
          <w:cantSplit/>
        </w:trPr>
        <w:tc>
          <w:tcPr>
            <w:tcW w:type="dxa" w:w="1814"/>
          </w:tcPr>
          <w:p>
            <w:pPr>
              <w:spacing w:after="100" w:before="60"/>
            </w:pPr>
            <w:r>
              <w:t>Food and drink</w:t>
            </w:r>
          </w:p>
        </w:tc>
        <w:tc>
          <w:tcPr>
            <w:tcW w:type="dxa" w:w="7257"/>
          </w:tcPr>
          <w:p>
            <w:pPr>
              <w:spacing w:after="100" w:before="60"/>
            </w:pPr>
            <w:r>
              <w:t>A suitable fruit or vegetable choice with water is one simple option. Plain yoghurt or wholemeal bread may also fit. Suitability depends on individual needs; use paper cards only.</w:t>
            </w:r>
          </w:p>
        </w:tc>
      </w:tr>
      <w:tr>
        <w:trPr>
          <w:cantSplit/>
        </w:trPr>
        <w:tc>
          <w:tcPr>
            <w:tcW w:type="dxa" w:w="1814"/>
          </w:tcPr>
          <w:p>
            <w:pPr>
              <w:spacing w:after="100" w:before="60"/>
            </w:pPr>
            <w:r>
              <w:t>Reason</w:t>
            </w:r>
          </w:p>
        </w:tc>
        <w:tc>
          <w:tcPr>
            <w:tcW w:type="dxa" w:w="7257"/>
          </w:tcPr>
          <w:p>
            <w:pPr>
              <w:spacing w:after="100" w:before="60"/>
            </w:pPr>
            <w:r>
              <w:t>Accept “It is fruit”, “It is a veg snack” or a suitable food-based explanation. Do not require a nutrition fact or every food group in one snack.</w:t>
            </w:r>
          </w:p>
        </w:tc>
      </w:tr>
      <w:tr>
        <w:trPr>
          <w:cantSplit/>
        </w:trPr>
        <w:tc>
          <w:tcPr>
            <w:tcW w:type="dxa" w:w="1814"/>
          </w:tcPr>
          <w:p>
            <w:pPr>
              <w:spacing w:after="100" w:before="60"/>
            </w:pPr>
            <w:r>
              <w:t>Kit</w:t>
            </w:r>
          </w:p>
        </w:tc>
        <w:tc>
          <w:tcPr>
            <w:tcW w:type="dxa" w:w="7257"/>
          </w:tcPr>
          <w:p>
            <w:pPr>
              <w:spacing w:after="100" w:before="60"/>
            </w:pPr>
            <w:r>
              <w:t>Match kit to the food: a plate and cup for fruit and water; bowl and spoon for yoghurt. Extra safe kit is not automatically wrong.</w:t>
            </w:r>
          </w:p>
        </w:tc>
      </w:tr>
      <w:tr>
        <w:trPr>
          <w:cantSplit/>
        </w:trPr>
        <w:tc>
          <w:tcPr>
            <w:tcW w:type="dxa" w:w="1814"/>
          </w:tcPr>
          <w:p>
            <w:pPr>
              <w:spacing w:after="100" w:before="60"/>
            </w:pPr>
            <w:r>
              <w:t>Planned snack order</w:t>
            </w:r>
          </w:p>
        </w:tc>
        <w:tc>
          <w:tcPr>
            <w:tcW w:type="dxa" w:w="7257"/>
          </w:tcPr>
          <w:p>
            <w:pPr>
              <w:spacing w:after="100" w:before="60"/>
            </w:pPr>
            <w:r>
              <w:t>C → A → D → B: adult food check; handwashing and clean kit; get the snack ready with an adult; clear up and wash hands. Today is planning only. For a later snack, staff would arrange safe preparation, including washing fruit or vegetables as needed, and suitable support.</w:t>
            </w:r>
          </w:p>
        </w:tc>
      </w:tr>
      <w:tr>
        <w:trPr>
          <w:cantSplit/>
        </w:trPr>
        <w:tc>
          <w:tcPr>
            <w:tcW w:type="dxa" w:w="1814"/>
          </w:tcPr>
          <w:p>
            <w:pPr>
              <w:spacing w:after="100" w:before="60"/>
            </w:pPr>
            <w:r>
              <w:t>Adult check</w:t>
            </w:r>
          </w:p>
        </w:tc>
        <w:tc>
          <w:tcPr>
            <w:tcW w:type="dxa" w:w="7257"/>
          </w:tcPr>
          <w:p>
            <w:pPr>
              <w:spacing w:after="100" w:before="60"/>
            </w:pPr>
            <w:r>
              <w:t>Food suits the person; equipment is suitable; the plan is complete. No private health detail belongs on the pupil sheet.</w:t>
            </w:r>
          </w:p>
        </w:tc>
      </w:tr>
    </w:tbl>
    <w:p>
      <w:pPr>
        <w:pStyle w:val="Heading2"/>
      </w:pPr>
      <w:r>
        <w:t>Hinge and reteach</w:t>
      </w:r>
    </w:p>
    <w:p>
      <w:r>
        <w:t>Show the empty kit box on the adult plan. Ask: “Is the plan ready, or do we need to add the kit?” Expected: add the kit, such as a plate and cup. If unsure, model one kit choice, then recheck with a different food card. Record the prompt; do not count the model as the learner’s own plan.</w:t>
      </w:r>
    </w:p>
    <w:p>
      <w:pPr>
        <w:pStyle w:val="Heading2"/>
      </w:pPr>
      <w:r>
        <w:t>Common errors</w:t>
      </w:r>
    </w:p>
    <w:p>
      <w:r>
        <w:t>A food choice alone is not a complete plan: add drink, suitable kit and a check. The cards show the planned snack routine; they do not authorise food preparation today. A suitable snack need not contain every food group. Do not rank learners or families by food choices.</w:t>
      </w:r>
    </w:p>
    <w:p>
      <w:r>
        <w:br w:type="page"/>
      </w:r>
    </w:p>
    <w:p>
      <w:pPr>
        <w:pStyle w:val="Title"/>
      </w:pPr>
      <w:r>
        <w:t>Practical protocol and evidence</w:t>
      </w:r>
    </w:p>
    <w:p>
      <w:pPr>
        <w:pStyle w:val="Heading2"/>
      </w:pPr>
      <w:r>
        <w:t>Before and during the lesson</w:t>
      </w:r>
    </w:p>
    <w:p>
      <w:r>
        <w:t>Print the two Evidence Sheet and two Support Cards pages, one Vocabulary Mat and a separate adult model set. Cut cards in advance if helpful. Use paper cards only: no food preparation, tasting, heat or blades. Provide usual aids and a clear work space.</w:t>
      </w:r>
    </w:p>
    <w:p>
      <w:r>
        <w:t>This is a planning lesson with paper cards; no food is prepared or eaten. Do not ask learners to disclose allergies, medical needs, weight or home food access. Before any later food activity, staff must check individual allergy, dietary, texture and swallowing needs through the setting’s private procedures. Offer suitable equivalent choices. Never label a person or a family’s food choices as good or bad.</w:t>
      </w:r>
    </w:p>
    <w:p>
      <w:r>
        <w:t>The model uses pear and water; the learner may choose a different suitable option. Food groups and exact nutrition targets are not assessed. Plan any later food handling separately under the setting’s procedures; this lesson provides no permission to taste or prepare food.</w:t>
      </w:r>
    </w:p>
    <w:p>
      <w:pPr>
        <w:pStyle w:val="Heading2"/>
      </w:pPr>
      <w:r>
        <w:t>Evidence decisions</w:t>
      </w:r>
    </w:p>
    <w:p>
      <w:r>
        <w:t>An individual snack plan showing food, drink, a reason, equipment, ordered steps and an adult check; actual response mode, support and a next step are recorded.</w:t>
      </w:r>
    </w:p>
    <w:p>
      <w:r>
        <w:t>Record what was observed, response mode, prompts, adult actions and gaps. Suggested statuses: observed with stated help; partial; not yet observed. Do not award a total, infer a qualification result or turn a blank sheet into evidence.</w:t>
      </w:r>
    </w:p>
    <w:p>
      <w:r>
        <w:t>After one specific prompt, record a changed plan or practical retry separately. Keep the first attempt unchanged. The learner’s explanation may be spoken, pointed, drawn, written or given with an aid.</w:t>
      </w:r>
    </w:p>
    <w:p>
      <w:pPr>
        <w:pStyle w:val="Heading2"/>
      </w:pPr>
      <w:r>
        <w:t>Feedback and next step</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Theme: Identity &amp; Belonging. This helps me plan a task and check what I need.</w:t>
      </w:r>
    </w:p>
    <w:p>
      <w:r>
        <w:t>Weeks 1–6 are formative. Week 7 gathers and reviews the half-term evidence.</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VOCATIONAL-BUILD-A2-W01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 healthy snack</dc:title>
  <dc:subject>VOCATIONAL-BUILD-A2-W01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