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cover</w:t>
      </w:r>
    </w:p>
    <w:p>
      <w:pPr>
        <w:pStyle w:val="Heading1"/>
      </w:pPr>
      <w:r>
        <w:t>Wash up and clean up</w:t>
      </w:r>
    </w:p>
    <w:p>
      <w:r>
        <w:t>Friday 13 November 2026 · one 40-minute lesson · Year A</w:t>
      </w:r>
    </w:p>
    <w:p>
      <w:r>
        <w:t>Term theme: Identity &amp; Belonging</w:t>
      </w:r>
    </w:p>
    <w:p>
      <w:r>
        <w:t>Thread tags: SMSC S/So (M/C: none); British Values IL/MR (D/RL/T: none).</w:t>
      </w:r>
    </w:p>
    <w:p>
      <w:pPr>
        <w:pStyle w:val="Heading2"/>
      </w:pPr>
      <w:r>
        <w:t>Objective</w:t>
      </w:r>
    </w:p>
    <w:p>
      <w:r>
        <w:t>Wash up / clean up after an activity.</w:t>
      </w:r>
    </w:p>
    <w:p>
      <w:r>
        <w:t>Source: scheme_references/BUILD_SOW.xlsx; BUILD Weekly - Autumn, C138. Strand and Friday slot confirmed by the owner.</w:t>
      </w:r>
    </w:p>
    <w:p>
      <w:pPr>
        <w:pStyle w:val="Heading2"/>
      </w:pPr>
      <w:r>
        <w:t>Big question and success checks</w:t>
      </w:r>
    </w:p>
    <w:p>
      <w:r>
        <w:t>How can I leave the space ready?</w:t>
      </w:r>
    </w:p>
    <w:p>
      <w:r>
        <w:t>Follow the steps to wash up. Clean the work space with the right cloth. Check the work and ask for help when needed.</w:t>
      </w:r>
    </w:p>
    <w:p>
      <w:pPr>
        <w:pStyle w:val="Heading2"/>
      </w:pPr>
      <w:r>
        <w:t>Evidence</w:t>
      </w:r>
    </w:p>
    <w:p>
      <w:r>
        <w:t>VOCATIONAL-BUILD-A2-W02-E1: A dated observation of each learner washing an item and cleaning a work area after a water-transfer activity, recording actions, prompts, safety support, unfinished steps and a next step.</w:t>
      </w:r>
    </w:p>
    <w:p>
      <w:pPr>
        <w:pStyle w:val="Heading2"/>
      </w:pPr>
      <w:r>
        <w:t>Prepare</w:t>
      </w:r>
    </w:p>
    <w:p>
      <w:r>
        <w:t>Prepare an accessible supervised station: stable tray, unbreakable cup and spoon, a small amount of clean water, wash area, fresh rinse water, draining rack, separate clean cloths for dishes and surfaces, and handwashing access. Staff check the water temperature, prepare approved detergent to its instructions and keep containers out of reach. Prepare one set per learner and a separate model set; allow one supervised washing turn at a time.</w:t>
      </w:r>
    </w:p>
    <w:p>
      <w:pPr>
        <w:pStyle w:val="Heading2"/>
      </w:pPr>
      <w:r>
        <w:t>Calendar and progression</w:t>
      </w:r>
    </w:p>
    <w:p>
      <w:r>
        <w:t>Year A. Autumn 2 Week 2: 9–13 November 2026. Friday 13 November 2026, one 40-minute taught lesson. No clock time is specified. Weeks 1–6 are formative; Week 7 is assessing.</w:t>
      </w:r>
    </w:p>
    <w:p>
      <w:r>
        <w:t>Independence / vocational strand. The community-project strand is not used. Week 1 plans a snack; Week 2 practises washing up and cleaning after a task. This does not teach the later recipe objective.</w:t>
      </w:r>
    </w:p>
    <w:p>
      <w:pPr>
        <w:pStyle w:val="Heading2"/>
      </w:pPr>
      <w:r>
        <w:t>Careers</w:t>
      </w:r>
    </w:p>
    <w:p>
      <w:r>
        <w:t>This helps me care for kit and leave a shared space ready.</w:t>
      </w:r>
    </w:p>
    <w:p>
      <w:r>
        <w:br w:type="page"/>
      </w:r>
    </w:p>
    <w:p>
      <w:pPr>
        <w:pStyle w:val="Title"/>
      </w:pPr>
      <w:r>
        <w:t>Teaching sequence</w:t>
      </w:r>
    </w:p>
    <w:tbl>
      <w:tblPr>
        <w:tblStyle w:val="TableGrid"/>
        <w:tblW w:type="auto" w:w="0"/>
        <w:tblLayout w:type="fixed"/>
        <w:tblLook w:firstColumn="1" w:firstRow="1" w:lastColumn="0" w:lastRow="0" w:noHBand="0" w:noVBand="1" w:val="04A0"/>
      </w:tblPr>
      <w:tblGrid>
        <w:gridCol w:w="737"/>
        <w:gridCol w:w="680"/>
        <w:gridCol w:w="7654"/>
      </w:tblGrid>
      <w:tr>
        <w:trPr>
          <w:cantSplit/>
        </w:trPr>
        <w:tc>
          <w:tcPr>
            <w:tcW w:type="dxa" w:w="737"/>
            <w:shd w:fill="E4F0EF"/>
          </w:tcPr>
          <w:p>
            <w:pPr>
              <w:spacing w:after="100" w:before="60"/>
            </w:pPr>
            <w:r>
              <w:rPr>
                <w:b/>
              </w:rPr>
              <w:t>Slide</w:t>
            </w:r>
          </w:p>
        </w:tc>
        <w:tc>
          <w:tcPr>
            <w:tcW w:type="dxa" w:w="680"/>
            <w:shd w:fill="E4F0EF"/>
          </w:tcPr>
          <w:p>
            <w:pPr>
              <w:spacing w:after="100" w:before="60"/>
            </w:pPr>
            <w:r>
              <w:rPr>
                <w:b/>
              </w:rPr>
              <w:t>Min</w:t>
            </w:r>
          </w:p>
        </w:tc>
        <w:tc>
          <w:tcPr>
            <w:tcW w:type="dxa" w:w="7654"/>
            <w:shd w:fill="E4F0EF"/>
          </w:tcPr>
          <w:p>
            <w:pPr>
              <w:spacing w:after="100" w:before="60"/>
            </w:pPr>
            <w:r>
              <w:rPr>
                <w:b/>
              </w:rPr>
              <w:t>Teaching action</w:t>
            </w:r>
          </w:p>
        </w:tc>
      </w:tr>
      <w:tr>
        <w:trPr>
          <w:cantSplit/>
        </w:trPr>
        <w:tc>
          <w:tcPr>
            <w:tcW w:type="dxa" w:w="737"/>
          </w:tcPr>
          <w:p>
            <w:pPr>
              <w:spacing w:after="100" w:before="60"/>
            </w:pPr>
            <w:r>
              <w:t>1</w:t>
            </w:r>
          </w:p>
        </w:tc>
        <w:tc>
          <w:tcPr>
            <w:tcW w:type="dxa" w:w="680"/>
          </w:tcPr>
          <w:p>
            <w:pPr>
              <w:spacing w:after="100" w:before="60"/>
            </w:pPr>
            <w:r>
              <w:t>0</w:t>
            </w:r>
          </w:p>
        </w:tc>
        <w:tc>
          <w:tcPr>
            <w:tcW w:type="dxa" w:w="7654"/>
          </w:tcPr>
          <w:p>
            <w:pPr>
              <w:spacing w:after="100" w:before="60"/>
            </w:pPr>
            <w:r>
              <w:t>Read the objective, question, theme and careers line.</w:t>
            </w:r>
          </w:p>
        </w:tc>
      </w:tr>
      <w:tr>
        <w:trPr>
          <w:cantSplit/>
        </w:trPr>
        <w:tc>
          <w:tcPr>
            <w:tcW w:type="dxa" w:w="737"/>
          </w:tcPr>
          <w:p>
            <w:pPr>
              <w:spacing w:after="100" w:before="60"/>
            </w:pPr>
            <w:r>
              <w:t>2</w:t>
            </w:r>
          </w:p>
        </w:tc>
        <w:tc>
          <w:tcPr>
            <w:tcW w:type="dxa" w:w="680"/>
          </w:tcPr>
          <w:p>
            <w:pPr>
              <w:spacing w:after="100" w:before="60"/>
            </w:pPr>
            <w:r>
              <w:t>3</w:t>
            </w:r>
          </w:p>
        </w:tc>
        <w:tc>
          <w:tcPr>
            <w:tcW w:type="dxa" w:w="7654"/>
          </w:tcPr>
          <w:p>
            <w:pPr>
              <w:spacing w:after="100" w:before="60"/>
            </w:pPr>
            <w:r>
              <w:t>Offer a pause, chosen response mode and usual aid. Record any access help.</w:t>
            </w:r>
          </w:p>
        </w:tc>
      </w:tr>
      <w:tr>
        <w:trPr>
          <w:cantSplit/>
        </w:trPr>
        <w:tc>
          <w:tcPr>
            <w:tcW w:type="dxa" w:w="737"/>
          </w:tcPr>
          <w:p>
            <w:pPr>
              <w:spacing w:after="100" w:before="60"/>
            </w:pPr>
            <w:r>
              <w:t>3</w:t>
            </w:r>
          </w:p>
        </w:tc>
        <w:tc>
          <w:tcPr>
            <w:tcW w:type="dxa" w:w="680"/>
          </w:tcPr>
          <w:p>
            <w:pPr>
              <w:spacing w:after="100" w:before="60"/>
            </w:pPr>
            <w:r>
              <w:t>3</w:t>
            </w:r>
          </w:p>
        </w:tc>
        <w:tc>
          <w:tcPr>
            <w:tcW w:type="dxa" w:w="7654"/>
          </w:tcPr>
          <w:p>
            <w:pPr>
              <w:spacing w:after="100" w:before="60"/>
            </w:pPr>
            <w:r>
              <w:t>With stable trays, each learner moves a little clean water from cup to tray using an unbreakable spoon for about one minute. No drinking, food, dyes or sensory additives. Stop spills promptly. The resulting used items and wet space give the clean-up task a real purpose.</w:t>
            </w:r>
          </w:p>
        </w:tc>
      </w:tr>
      <w:tr>
        <w:trPr>
          <w:cantSplit/>
        </w:trPr>
        <w:tc>
          <w:tcPr>
            <w:tcW w:type="dxa" w:w="737"/>
          </w:tcPr>
          <w:p>
            <w:pPr>
              <w:spacing w:after="100" w:before="60"/>
            </w:pPr>
            <w:r>
              <w:t>4</w:t>
            </w:r>
          </w:p>
        </w:tc>
        <w:tc>
          <w:tcPr>
            <w:tcW w:type="dxa" w:w="680"/>
          </w:tcPr>
          <w:p>
            <w:pPr>
              <w:spacing w:after="100" w:before="60"/>
            </w:pPr>
            <w:r>
              <w:t>0</w:t>
            </w:r>
          </w:p>
        </w:tc>
        <w:tc>
          <w:tcPr>
            <w:tcW w:type="dxa" w:w="7654"/>
          </w:tcPr>
          <w:p>
            <w:pPr>
              <w:spacing w:after="100" w:before="60"/>
            </w:pPr>
            <w:r>
              <w:t>Read the objective and three success checks. These are formative teaching tasks.</w:t>
            </w:r>
          </w:p>
        </w:tc>
      </w:tr>
      <w:tr>
        <w:trPr>
          <w:cantSplit/>
        </w:trPr>
        <w:tc>
          <w:tcPr>
            <w:tcW w:type="dxa" w:w="737"/>
          </w:tcPr>
          <w:p>
            <w:pPr>
              <w:spacing w:after="100" w:before="60"/>
            </w:pPr>
            <w:r>
              <w:t>5</w:t>
            </w:r>
          </w:p>
        </w:tc>
        <w:tc>
          <w:tcPr>
            <w:tcW w:type="dxa" w:w="680"/>
          </w:tcPr>
          <w:p>
            <w:pPr>
              <w:spacing w:after="100" w:before="60"/>
            </w:pPr>
            <w:r>
              <w:t>5</w:t>
            </w:r>
          </w:p>
        </w:tc>
        <w:tc>
          <w:tcPr>
            <w:tcW w:type="dxa" w:w="7654"/>
          </w:tcPr>
          <w:p>
            <w:pPr>
              <w:spacing w:after="100" w:before="60"/>
            </w:pPr>
            <w:r>
              <w:t>Use the separate adult model set. Model clearing, washing, rinsing, draining, surface cleaning and handwashing. Staff control water and products.</w:t>
            </w:r>
          </w:p>
        </w:tc>
      </w:tr>
      <w:tr>
        <w:trPr>
          <w:cantSplit/>
        </w:trPr>
        <w:tc>
          <w:tcPr>
            <w:tcW w:type="dxa" w:w="737"/>
          </w:tcPr>
          <w:p>
            <w:pPr>
              <w:spacing w:after="100" w:before="60"/>
            </w:pPr>
            <w:r>
              <w:t>6</w:t>
            </w:r>
          </w:p>
        </w:tc>
        <w:tc>
          <w:tcPr>
            <w:tcW w:type="dxa" w:w="680"/>
          </w:tcPr>
          <w:p>
            <w:pPr>
              <w:spacing w:after="100" w:before="60"/>
            </w:pPr>
            <w:r>
              <w:t>5</w:t>
            </w:r>
          </w:p>
        </w:tc>
        <w:tc>
          <w:tcPr>
            <w:tcW w:type="dxa" w:w="7654"/>
          </w:tcPr>
          <w:p>
            <w:pPr>
              <w:spacing w:after="100" w:before="60"/>
            </w:pPr>
            <w:r>
              <w:t>Show a clean but wet cup and a dry storage space. Ask: “Put it away now, or let it dry first?” Expected: let it drain and air-dry, then check it is dry before storage.</w:t>
            </w:r>
          </w:p>
        </w:tc>
      </w:tr>
      <w:tr>
        <w:trPr>
          <w:cantSplit/>
        </w:trPr>
        <w:tc>
          <w:tcPr>
            <w:tcW w:type="dxa" w:w="737"/>
          </w:tcPr>
          <w:p>
            <w:pPr>
              <w:spacing w:after="100" w:before="60"/>
            </w:pPr>
            <w:r>
              <w:t>7</w:t>
            </w:r>
          </w:p>
        </w:tc>
        <w:tc>
          <w:tcPr>
            <w:tcW w:type="dxa" w:w="680"/>
          </w:tcPr>
          <w:p>
            <w:pPr>
              <w:spacing w:after="100" w:before="60"/>
            </w:pPr>
            <w:r>
              <w:t>12</w:t>
            </w:r>
          </w:p>
        </w:tc>
        <w:tc>
          <w:tcPr>
            <w:tcW w:type="dxa" w:w="7654"/>
          </w:tcPr>
          <w:p>
            <w:pPr>
              <w:spacing w:after="100" w:before="60"/>
            </w:pPr>
            <w:r>
              <w:t>Each learner has a supervised turn: wash one item, rinse, drain and clean their work space. Record individual actions; retain unfinished turns.</w:t>
            </w:r>
          </w:p>
        </w:tc>
      </w:tr>
      <w:tr>
        <w:trPr>
          <w:cantSplit/>
        </w:trPr>
        <w:tc>
          <w:tcPr>
            <w:tcW w:type="dxa" w:w="737"/>
          </w:tcPr>
          <w:p>
            <w:pPr>
              <w:spacing w:after="100" w:before="60"/>
            </w:pPr>
            <w:r>
              <w:t>8</w:t>
            </w:r>
          </w:p>
        </w:tc>
        <w:tc>
          <w:tcPr>
            <w:tcW w:type="dxa" w:w="680"/>
          </w:tcPr>
          <w:p>
            <w:pPr>
              <w:spacing w:after="100" w:before="60"/>
            </w:pPr>
            <w:r>
              <w:t>6</w:t>
            </w:r>
          </w:p>
        </w:tc>
        <w:tc>
          <w:tcPr>
            <w:tcW w:type="dxa" w:w="7654"/>
          </w:tcPr>
          <w:p>
            <w:pPr>
              <w:spacing w:after="100" w:before="60"/>
            </w:pPr>
            <w:r>
              <w:t>Finish the observation record; safely complete or recheck short steps. Rehearsal is not practical completion.</w:t>
            </w:r>
          </w:p>
        </w:tc>
      </w:tr>
      <w:tr>
        <w:trPr>
          <w:cantSplit/>
        </w:trPr>
        <w:tc>
          <w:tcPr>
            <w:tcW w:type="dxa" w:w="737"/>
          </w:tcPr>
          <w:p>
            <w:pPr>
              <w:spacing w:after="100" w:before="60"/>
            </w:pPr>
            <w:r>
              <w:t>9</w:t>
            </w:r>
          </w:p>
        </w:tc>
        <w:tc>
          <w:tcPr>
            <w:tcW w:type="dxa" w:w="680"/>
          </w:tcPr>
          <w:p>
            <w:pPr>
              <w:spacing w:after="100" w:before="60"/>
            </w:pPr>
            <w:r>
              <w:t>4</w:t>
            </w:r>
          </w:p>
        </w:tc>
        <w:tc>
          <w:tcPr>
            <w:tcW w:type="dxa" w:w="7654"/>
          </w:tcPr>
          <w:p>
            <w:pPr>
              <w:spacing w:after="100" w:before="60"/>
            </w:pPr>
            <w:r>
              <w:t>Give one prompt and brief retry. Leave wet kit to dry; adult checks floor and products. Wash and dry hands.</w:t>
            </w:r>
          </w:p>
        </w:tc>
      </w:tr>
      <w:tr>
        <w:trPr>
          <w:cantSplit/>
        </w:trPr>
        <w:tc>
          <w:tcPr>
            <w:tcW w:type="dxa" w:w="737"/>
          </w:tcPr>
          <w:p>
            <w:pPr>
              <w:spacing w:after="100" w:before="60"/>
            </w:pPr>
            <w:r>
              <w:t>10</w:t>
            </w:r>
          </w:p>
        </w:tc>
        <w:tc>
          <w:tcPr>
            <w:tcW w:type="dxa" w:w="680"/>
          </w:tcPr>
          <w:p>
            <w:pPr>
              <w:spacing w:after="100" w:before="60"/>
            </w:pPr>
            <w:r>
              <w:t>2</w:t>
            </w:r>
          </w:p>
        </w:tc>
        <w:tc>
          <w:tcPr>
            <w:tcW w:type="dxa" w:w="7654"/>
          </w:tcPr>
          <w:p>
            <w:pPr>
              <w:spacing w:after="100" w:before="60"/>
            </w:pPr>
            <w:r>
              <w:t>Accept a correct sequence step. For a floor spill: stop, keep clear and tell the adult; the adult manages the spill. Do not send the learner to find or mix a product.</w:t>
            </w:r>
          </w:p>
        </w:tc>
      </w:tr>
      <w:tr>
        <w:trPr>
          <w:cantSplit/>
        </w:trPr>
        <w:tc>
          <w:tcPr>
            <w:tcW w:type="dxa" w:w="737"/>
          </w:tcPr>
          <w:p>
            <w:pPr>
              <w:spacing w:after="100" w:before="60"/>
            </w:pPr>
            <w:r>
              <w:t>11</w:t>
            </w:r>
          </w:p>
        </w:tc>
        <w:tc>
          <w:tcPr>
            <w:tcW w:type="dxa" w:w="680"/>
          </w:tcPr>
          <w:p>
            <w:pPr>
              <w:spacing w:after="100" w:before="60"/>
            </w:pPr>
            <w:r>
              <w:t>0</w:t>
            </w:r>
          </w:p>
        </w:tc>
        <w:tc>
          <w:tcPr>
            <w:tcW w:type="dxa" w:w="7654"/>
          </w:tcPr>
          <w:p>
            <w:pPr>
              <w:spacing w:after="100" w:before="60"/>
            </w:pPr>
            <w:r>
              <w:t>Keep the word mat available and explain words in the task.</w:t>
            </w:r>
          </w:p>
        </w:tc>
      </w:tr>
      <w:tr>
        <w:trPr>
          <w:cantSplit/>
        </w:trPr>
        <w:tc>
          <w:tcPr>
            <w:tcW w:type="dxa" w:w="737"/>
          </w:tcPr>
          <w:p>
            <w:pPr>
              <w:spacing w:after="100" w:before="60"/>
            </w:pPr>
            <w:r>
              <w:t>12</w:t>
            </w:r>
          </w:p>
        </w:tc>
        <w:tc>
          <w:tcPr>
            <w:tcW w:type="dxa" w:w="680"/>
          </w:tcPr>
          <w:p>
            <w:pPr>
              <w:spacing w:after="100" w:before="60"/>
            </w:pPr>
            <w:r>
              <w:t>0</w:t>
            </w:r>
          </w:p>
        </w:tc>
        <w:tc>
          <w:tcPr>
            <w:tcW w:type="dxa" w:w="7654"/>
          </w:tcPr>
          <w:p>
            <w:pPr>
              <w:spacing w:after="100" w:before="60"/>
            </w:pPr>
            <w:r>
              <w:t>Hidden staff brief. Read the practical boundaries and key before teaching.</w:t>
            </w:r>
          </w:p>
        </w:tc>
      </w:tr>
    </w:tbl>
    <w:p>
      <w:pPr>
        <w:pStyle w:val="Heading2"/>
      </w:pPr>
      <w:r>
        <w:t>Hinge response and reteach</w:t>
      </w:r>
    </w:p>
    <w:p>
      <w:r>
        <w:t>Show a clean but wet cup and a dry storage space. Ask: “Put it away now, or let it dry first?” Expected: let it drain and air-dry, then check it is dry before storage. If unsure, model the safe position on the rack and recheck with a wet spoon. The adult manages any remaining drying and later storage.</w:t>
      </w:r>
    </w:p>
    <w:p>
      <w:pPr>
        <w:pStyle w:val="Heading2"/>
      </w:pPr>
      <w:r>
        <w:t>Routes</w:t>
      </w:r>
    </w:p>
    <w:p>
      <w:r>
        <w:t>Supported: Use one step card at a time, an adapted grip or a stable tray. Allow pointing to request help. Staff can support an action with consent; record exactly what the learner did and what the adult did.</w:t>
      </w:r>
    </w:p>
    <w:p>
      <w:r>
        <w:t>Independent: Follow the wash, rinse, drain and surface-cleaning sequence with the agreed adult safety checks. Check the work and request help as needed. Adult safety supervision still applies.</w:t>
      </w:r>
    </w:p>
    <w:p>
      <w:r>
        <w:t>Aspire: Complete the same task, explain why dish and surface cloths stay separate, and spot an unfinished step. Improve that step with adult approval; do not handle products or hotter water.</w:t>
      </w:r>
    </w:p>
    <w:p>
      <w:r>
        <w:br w:type="page"/>
      </w:r>
    </w:p>
    <w:p>
      <w:pPr>
        <w:pStyle w:val="Title"/>
      </w:pPr>
      <w:r>
        <w:t>Safe teaching and evidence</w:t>
      </w:r>
    </w:p>
    <w:p>
      <w:pPr>
        <w:pStyle w:val="Heading2"/>
      </w:pPr>
      <w:r>
        <w:t>Boundaries and practical support</w:t>
      </w:r>
    </w:p>
    <w:p>
      <w:r>
        <w:t>Staff complete the setting’s practical risk check and adapt equipment and access before teaching. Use only unbreakable items from a clean-water transfer task; no raw food, blades, glass, heat or electrical equipment. Adults prepare and handle cleaning products, check safe water temperature, change dirty water and manage spills promptly. Learners never mix or dose products. Use separate dish and surface cloths. Detergent cleaning is not disinfection; staff complete any required disinfection separately under the setting’s procedure. Keep chemicals secure. If the task is unsafe, stop and seek help. A dry rehearsal is an access alternative, not evidence of completed washing.</w:t>
      </w:r>
    </w:p>
    <w:p>
      <w:r>
        <w:t>Allow a supervised turn for each learner to wash one item, rinse and drain it, then clean their own work space with the separate cloth. Staff control water, detergent and spills throughout. Record individual steps while observing. For a small group, allow about three minutes per turn; prepare extra supervised stations or record unfinished turns if group size or needs require more time. Do not imply that watching a peer proves a skill.</w:t>
      </w:r>
    </w:p>
    <w:p>
      <w:r>
        <w:t>The six-minute evidence stage can extend individual observation. If all turns cannot be safely completed within the lesson, record the unobserved steps and plan a later opportunity. Watching, sorting cards or an adult finishing the task does not demonstrate the learner’s practical action.</w:t>
      </w:r>
    </w:p>
    <w:p>
      <w:pPr>
        <w:pStyle w:val="Heading2"/>
      </w:pPr>
      <w:r>
        <w:t>Evidence and feedback</w:t>
      </w:r>
    </w:p>
    <w:p>
      <w:r>
        <w:t>A dated observation of each learner washing an item and cleaning a work area after a water-transfer activity, recording actions, prompts, safety support, unfinished steps and a next step.</w:t>
      </w:r>
    </w:p>
    <w:p>
      <w:r>
        <w:t>Use VF · WS · I · NS+ (Yellow Box) · // self-edit · ? read back · R responded · E evidence. R requires Voice, Audience, a specific NS+ prompt and the learner response in their own colour. E is used only when actual work is banked. Keep the first try and any later change separate.</w:t>
      </w:r>
    </w:p>
    <w:p>
      <w:r>
        <w:t>Keep the first attempt, actual help and any later response. No qualification mapping, attainment level or completion is inferred. Staff confirm any mapping from real evidence.</w:t>
      </w:r>
    </w:p>
    <w:p>
      <w:pPr>
        <w:pStyle w:val="Heading2"/>
      </w:pPr>
      <w:r>
        <w:t>Voice, theme and threads</w:t>
      </w:r>
    </w:p>
    <w:p>
      <w:r>
        <w:t>Offer speech, pointing, drawing, writing or the usual aid. Ask what help makes the task accessible. Respect a pause without demanding an explanation.</w:t>
      </w:r>
    </w:p>
    <w:p>
      <w:r>
        <w:t>S: reflect on a useful daily skill. So: share task talk and care for shared equipment. IL: choose a response mode and ask for help. MR: respect different needs and give each person time. No other thread is claimed.</w:t>
      </w:r>
    </w:p>
    <w:p>
      <w:pPr>
        <w:pStyle w:val="Heading2"/>
      </w:pPr>
      <w:r>
        <w:t>Communication portfolio</w:t>
      </w:r>
    </w:p>
    <w:p>
      <w:r>
        <w:t>A task explanation or request for help may be offered to the Communication portfolio. Keep the learner’s actual response and support; staff confirm any mapping.</w:t>
      </w:r>
    </w:p>
    <w:p>
      <w:pPr>
        <w:pStyle w:val="Heading2"/>
      </w:pPr>
      <w:r>
        <w:t>Reflection</w:t>
      </w:r>
    </w:p>
    <w:p>
      <w:r>
        <w:t>Next teaching need: ________________________________________</w:t>
      </w:r>
    </w:p>
    <w:p>
      <w:r>
        <w:t>Learner request and change made: ___________________________</w:t>
      </w:r>
    </w:p>
    <w:p>
      <w:r>
        <w:t>Provenance: selected workbook rows and the owner’s strand, date and Friday-slot decision. Tasks, examples and careers lines are newly authored; they are not quoted scheme criteria.</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VOCATIONAL-BUILD-A2-W02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83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83E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 up and clean up</dc:title>
  <dc:subject>VOCATIONAL-BUILD-A2-W02 · Year A</dc:subject>
  <dc:creator>Lesson resource</dc:creator>
  <cp:keywords>Year A · Careers</cp:keywords>
  <dc:description/>
  <cp:lastModifiedBy>Lesson resource</cp:lastModifiedBy>
  <cp:revision>1</cp:revision>
  <dcterms:created xsi:type="dcterms:W3CDTF">2013-12-23T23:15:00Z</dcterms:created>
  <dcterms:modified xsi:type="dcterms:W3CDTF">2013-12-23T23:15:00Z</dcterms:modified>
  <cp:category/>
</cp:coreProperties>
</file>