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Lesson 6 teacher and cover plan</w:t>
      </w:r>
    </w:p>
    <w:p>
      <w:r>
        <w:rPr>
          <w:sz w:val="20"/>
        </w:rPr>
        <w:t>Public edition · Thursday 5 November 2026 · P5 12:50–13:30</w:t>
      </w:r>
    </w:p>
    <w:p>
      <w:pPr>
        <w:pStyle w:val="Heading2"/>
      </w:pPr>
      <w:r>
        <w:t>Purpose and evidence</w:t>
      </w:r>
    </w:p>
    <w:p>
      <w:r>
        <w:t>Use trial notes and costs to solve one real issue. Help agree our final sale plan.</w:t>
      </w:r>
    </w:p>
    <w:p>
      <w:r>
        <w:rPr>
          <w:sz w:val="20"/>
        </w:rPr>
        <w:t>SoW Aut2 W1. Catch-up coverage: Aut1 W4 costing. Lesson 5 supplies the prior review evidence.</w:t>
      </w:r>
    </w:p>
    <w:p>
      <w:r>
        <w:rPr>
          <w:sz w:val="20"/>
        </w:rPr>
        <w:t xml:space="preserve">L6-E1 records a personal real decision, named tool, reason and improvement. Grid and cost/menu pages are labelled annexes to the same individual form. Links: Project learning link: [QUAL]; [AWARD] unit awards: [QUAL]; [QUAL].</w:t>
      </w:r>
    </w:p>
    <w:p>
      <w:r>
        <w:rPr>
          <w:sz w:val="18"/>
        </w:rPr>
        <w:t xml:space="preserve">Keep dated individual evidence, support, feedback and a next step. No award completion is claimed.</w:t>
      </w:r>
    </w:p>
    <w:p>
      <w:pPr>
        <w:pStyle w:val="Heading2"/>
      </w:pPr>
      <w:r>
        <w:t>Forty minute sequence</w:t>
      </w:r>
    </w:p>
    <w:tbl>
      <w:tblPr>
        <w:tblW w:type="auto" w:w="0"/>
        <w:jc w:val="center"/>
        <w:tblLayout w:type="fixed"/>
        <w:tblLook w:firstColumn="1" w:firstRow="1" w:lastColumn="0" w:lastRow="0" w:noHBand="0" w:noVBand="1" w:val="04A0"/>
      </w:tblPr>
      <w:tblGrid>
        <w:gridCol w:w="7824"/>
        <w:gridCol w:w="2268"/>
      </w:tblGrid>
      <w:tr>
        <w:trPr>
          <w:tblHeader/>
        </w:trPr>
        <w:tc>
          <w:tcPr>
            <w:tcW w:type="dxa" w:w="7824"/>
            <w:vAlign w:val="center"/>
            <w:tcBorders>
              <w:top w:val="single" w:sz="4" w:color="D9D9D9"/>
              <w:left w:val="single" w:sz="4" w:color="D9D9D9"/>
              <w:bottom w:val="single" w:sz="4" w:color="D9D9D9"/>
              <w:right w:val="single" w:sz="4" w:color="D9D9D9"/>
              <w:insideH w:val="single" w:sz="4" w:color="D9D9D9"/>
              <w:insideV w:val="single" w:sz="4" w:color="D9D9D9"/>
            </w:tcBorders>
            <w:shd w:fill="E8EFF0"/>
            <w:tcMar>
              <w:top w:w="80" w:type="dxa"/>
              <w:left w:w="80" w:type="dxa"/>
              <w:bottom w:w="80" w:type="dxa"/>
              <w:right w:w="80" w:type="dxa"/>
            </w:tcMar>
          </w:tcPr>
          <w:p>
            <w:pPr>
              <w:spacing w:after="60"/>
            </w:pPr>
            <w:r>
              <w:rPr>
                <w:b/>
                <w:sz w:val="19"/>
              </w:rPr>
              <w:t>Stage</w:t>
            </w:r>
          </w:p>
        </w:tc>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shd w:fill="E8EFF0"/>
            <w:tcMar>
              <w:top w:w="80" w:type="dxa"/>
              <w:left w:w="80" w:type="dxa"/>
              <w:bottom w:w="80" w:type="dxa"/>
              <w:right w:w="80" w:type="dxa"/>
            </w:tcMar>
          </w:tcPr>
          <w:p>
            <w:pPr>
              <w:spacing w:after="60"/>
            </w:pPr>
            <w:r>
              <w:rPr>
                <w:b/>
                <w:sz w:val="19"/>
              </w:rPr>
              <w:t>Minutes</w:t>
            </w:r>
          </w:p>
        </w:tc>
      </w:tr>
      <w:tr>
        <w:tc>
          <w:tcPr>
            <w:tcW w:type="dxa" w:w="782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60"/>
            </w:pPr>
            <w:r>
              <w:rPr>
                <w:b w:val="0"/>
                <w:sz w:val="19"/>
              </w:rPr>
              <w:t>Title and big question</w:t>
            </w:r>
          </w:p>
        </w:tc>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60"/>
            </w:pPr>
            <w:r>
              <w:rPr>
                <w:b w:val="0"/>
                <w:sz w:val="19"/>
              </w:rPr>
              <w:t>0</w:t>
            </w:r>
          </w:p>
        </w:tc>
      </w:tr>
      <w:tr>
        <w:tc>
          <w:tcPr>
            <w:tcW w:type="dxa" w:w="7824"/>
            <w:vAlign w:val="center"/>
            <w:tcBorders>
              <w:top w:val="single" w:sz="4" w:color="D9D9D9"/>
              <w:left w:val="single" w:sz="4" w:color="D9D9D9"/>
              <w:bottom w:val="single" w:sz="4" w:color="D9D9D9"/>
              <w:right w:val="single" w:sz="4" w:color="D9D9D9"/>
              <w:insideH w:val="single" w:sz="4" w:color="D9D9D9"/>
              <w:insideV w:val="single" w:sz="4" w:color="D9D9D9"/>
            </w:tcBorders>
            <w:shd w:fill="F5F8F8"/>
            <w:tcMar>
              <w:top w:w="80" w:type="dxa"/>
              <w:left w:w="80" w:type="dxa"/>
              <w:bottom w:w="80" w:type="dxa"/>
              <w:right w:w="80" w:type="dxa"/>
            </w:tcMar>
          </w:tcPr>
          <w:p>
            <w:pPr>
              <w:spacing w:after="60"/>
            </w:pPr>
            <w:r>
              <w:rPr>
                <w:b w:val="0"/>
                <w:sz w:val="19"/>
              </w:rPr>
              <w:t>Arrival</w:t>
            </w:r>
          </w:p>
        </w:tc>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shd w:fill="F5F8F8"/>
            <w:tcMar>
              <w:top w:w="80" w:type="dxa"/>
              <w:left w:w="80" w:type="dxa"/>
              <w:bottom w:w="80" w:type="dxa"/>
              <w:right w:w="80" w:type="dxa"/>
            </w:tcMar>
          </w:tcPr>
          <w:p>
            <w:pPr>
              <w:spacing w:after="60"/>
            </w:pPr>
            <w:r>
              <w:rPr>
                <w:b w:val="0"/>
                <w:sz w:val="19"/>
              </w:rPr>
              <w:t>3</w:t>
            </w:r>
          </w:p>
        </w:tc>
      </w:tr>
      <w:tr>
        <w:tc>
          <w:tcPr>
            <w:tcW w:type="dxa" w:w="782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60"/>
            </w:pPr>
            <w:r>
              <w:rPr>
                <w:b w:val="0"/>
                <w:sz w:val="19"/>
              </w:rPr>
              <w:t>Retrieval</w:t>
            </w:r>
          </w:p>
        </w:tc>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60"/>
            </w:pPr>
            <w:r>
              <w:rPr>
                <w:b w:val="0"/>
                <w:sz w:val="19"/>
              </w:rPr>
              <w:t>4</w:t>
            </w:r>
          </w:p>
        </w:tc>
      </w:tr>
      <w:tr>
        <w:tc>
          <w:tcPr>
            <w:tcW w:type="dxa" w:w="7824"/>
            <w:vAlign w:val="center"/>
            <w:tcBorders>
              <w:top w:val="single" w:sz="4" w:color="D9D9D9"/>
              <w:left w:val="single" w:sz="4" w:color="D9D9D9"/>
              <w:bottom w:val="single" w:sz="4" w:color="D9D9D9"/>
              <w:right w:val="single" w:sz="4" w:color="D9D9D9"/>
              <w:insideH w:val="single" w:sz="4" w:color="D9D9D9"/>
              <w:insideV w:val="single" w:sz="4" w:color="D9D9D9"/>
            </w:tcBorders>
            <w:shd w:fill="F5F8F8"/>
            <w:tcMar>
              <w:top w:w="80" w:type="dxa"/>
              <w:left w:w="80" w:type="dxa"/>
              <w:bottom w:w="80" w:type="dxa"/>
              <w:right w:w="80" w:type="dxa"/>
            </w:tcMar>
          </w:tcPr>
          <w:p>
            <w:pPr>
              <w:spacing w:after="60"/>
            </w:pPr>
            <w:r>
              <w:rPr>
                <w:b w:val="0"/>
                <w:sz w:val="19"/>
              </w:rPr>
              <w:t>Today</w:t>
            </w:r>
          </w:p>
        </w:tc>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shd w:fill="F5F8F8"/>
            <w:tcMar>
              <w:top w:w="80" w:type="dxa"/>
              <w:left w:w="80" w:type="dxa"/>
              <w:bottom w:w="80" w:type="dxa"/>
              <w:right w:w="80" w:type="dxa"/>
            </w:tcMar>
          </w:tcPr>
          <w:p>
            <w:pPr>
              <w:spacing w:after="60"/>
            </w:pPr>
            <w:r>
              <w:rPr>
                <w:b w:val="0"/>
                <w:sz w:val="19"/>
              </w:rPr>
              <w:t>2</w:t>
            </w:r>
          </w:p>
        </w:tc>
      </w:tr>
      <w:tr>
        <w:tc>
          <w:tcPr>
            <w:tcW w:type="dxa" w:w="782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60"/>
            </w:pPr>
            <w:r>
              <w:rPr>
                <w:b w:val="0"/>
                <w:sz w:val="19"/>
              </w:rPr>
              <w:t>I DO</w:t>
            </w:r>
          </w:p>
        </w:tc>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60"/>
            </w:pPr>
            <w:r>
              <w:rPr>
                <w:b w:val="0"/>
                <w:sz w:val="19"/>
              </w:rPr>
              <w:t>5</w:t>
            </w:r>
          </w:p>
        </w:tc>
      </w:tr>
      <w:tr>
        <w:tc>
          <w:tcPr>
            <w:tcW w:type="dxa" w:w="7824"/>
            <w:vAlign w:val="center"/>
            <w:tcBorders>
              <w:top w:val="single" w:sz="4" w:color="D9D9D9"/>
              <w:left w:val="single" w:sz="4" w:color="D9D9D9"/>
              <w:bottom w:val="single" w:sz="4" w:color="D9D9D9"/>
              <w:right w:val="single" w:sz="4" w:color="D9D9D9"/>
              <w:insideH w:val="single" w:sz="4" w:color="D9D9D9"/>
              <w:insideV w:val="single" w:sz="4" w:color="D9D9D9"/>
            </w:tcBorders>
            <w:shd w:fill="F5F8F8"/>
            <w:tcMar>
              <w:top w:w="80" w:type="dxa"/>
              <w:left w:w="80" w:type="dxa"/>
              <w:bottom w:w="80" w:type="dxa"/>
              <w:right w:w="80" w:type="dxa"/>
            </w:tcMar>
          </w:tcPr>
          <w:p>
            <w:pPr>
              <w:spacing w:after="60"/>
            </w:pPr>
            <w:r>
              <w:rPr>
                <w:b w:val="0"/>
                <w:sz w:val="19"/>
              </w:rPr>
              <w:t>WE DO</w:t>
            </w:r>
          </w:p>
        </w:tc>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shd w:fill="F5F8F8"/>
            <w:tcMar>
              <w:top w:w="80" w:type="dxa"/>
              <w:left w:w="80" w:type="dxa"/>
              <w:bottom w:w="80" w:type="dxa"/>
              <w:right w:w="80" w:type="dxa"/>
            </w:tcMar>
          </w:tcPr>
          <w:p>
            <w:pPr>
              <w:spacing w:after="60"/>
            </w:pPr>
            <w:r>
              <w:rPr>
                <w:b w:val="0"/>
                <w:sz w:val="19"/>
              </w:rPr>
              <w:t>7</w:t>
            </w:r>
          </w:p>
        </w:tc>
      </w:tr>
      <w:tr>
        <w:tc>
          <w:tcPr>
            <w:tcW w:type="dxa" w:w="782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60"/>
            </w:pPr>
            <w:r>
              <w:rPr>
                <w:b w:val="0"/>
                <w:sz w:val="19"/>
              </w:rPr>
              <w:t>YOU DO in book</w:t>
            </w:r>
          </w:p>
        </w:tc>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60"/>
            </w:pPr>
            <w:r>
              <w:rPr>
                <w:b w:val="0"/>
                <w:sz w:val="19"/>
              </w:rPr>
              <w:t>7</w:t>
            </w:r>
          </w:p>
        </w:tc>
      </w:tr>
      <w:tr>
        <w:tc>
          <w:tcPr>
            <w:tcW w:type="dxa" w:w="7824"/>
            <w:vAlign w:val="center"/>
            <w:tcBorders>
              <w:top w:val="single" w:sz="4" w:color="D9D9D9"/>
              <w:left w:val="single" w:sz="4" w:color="D9D9D9"/>
              <w:bottom w:val="single" w:sz="4" w:color="D9D9D9"/>
              <w:right w:val="single" w:sz="4" w:color="D9D9D9"/>
              <w:insideH w:val="single" w:sz="4" w:color="D9D9D9"/>
              <w:insideV w:val="single" w:sz="4" w:color="D9D9D9"/>
            </w:tcBorders>
            <w:shd w:fill="F5F8F8"/>
            <w:tcMar>
              <w:top w:w="80" w:type="dxa"/>
              <w:left w:w="80" w:type="dxa"/>
              <w:bottom w:w="80" w:type="dxa"/>
              <w:right w:w="80" w:type="dxa"/>
            </w:tcMar>
          </w:tcPr>
          <w:p>
            <w:pPr>
              <w:spacing w:after="60"/>
            </w:pPr>
            <w:r>
              <w:rPr>
                <w:b w:val="0"/>
                <w:sz w:val="19"/>
              </w:rPr>
              <w:t>YOU DO evidence capture</w:t>
            </w:r>
          </w:p>
        </w:tc>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shd w:fill="F5F8F8"/>
            <w:tcMar>
              <w:top w:w="80" w:type="dxa"/>
              <w:left w:w="80" w:type="dxa"/>
              <w:bottom w:w="80" w:type="dxa"/>
              <w:right w:w="80" w:type="dxa"/>
            </w:tcMar>
          </w:tcPr>
          <w:p>
            <w:pPr>
              <w:spacing w:after="60"/>
            </w:pPr>
            <w:r>
              <w:rPr>
                <w:b w:val="0"/>
                <w:sz w:val="19"/>
              </w:rPr>
              <w:t>7</w:t>
            </w:r>
          </w:p>
        </w:tc>
      </w:tr>
      <w:tr>
        <w:tc>
          <w:tcPr>
            <w:tcW w:type="dxa" w:w="782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60"/>
            </w:pPr>
            <w:r>
              <w:rPr>
                <w:b w:val="0"/>
                <w:sz w:val="19"/>
              </w:rPr>
              <w:t>Evidence check</w:t>
            </w:r>
          </w:p>
        </w:tc>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60"/>
            </w:pPr>
            <w:r>
              <w:rPr>
                <w:b w:val="0"/>
                <w:sz w:val="19"/>
              </w:rPr>
              <w:t>2</w:t>
            </w:r>
          </w:p>
        </w:tc>
      </w:tr>
      <w:tr>
        <w:tc>
          <w:tcPr>
            <w:tcW w:type="dxa" w:w="7824"/>
            <w:vAlign w:val="center"/>
            <w:tcBorders>
              <w:top w:val="single" w:sz="4" w:color="D9D9D9"/>
              <w:left w:val="single" w:sz="4" w:color="D9D9D9"/>
              <w:bottom w:val="single" w:sz="4" w:color="D9D9D9"/>
              <w:right w:val="single" w:sz="4" w:color="D9D9D9"/>
              <w:insideH w:val="single" w:sz="4" w:color="D9D9D9"/>
              <w:insideV w:val="single" w:sz="4" w:color="D9D9D9"/>
            </w:tcBorders>
            <w:shd w:fill="F5F8F8"/>
            <w:tcMar>
              <w:top w:w="80" w:type="dxa"/>
              <w:left w:w="80" w:type="dxa"/>
              <w:bottom w:w="80" w:type="dxa"/>
              <w:right w:w="80" w:type="dxa"/>
            </w:tcMar>
          </w:tcPr>
          <w:p>
            <w:pPr>
              <w:spacing w:after="60"/>
            </w:pPr>
            <w:r>
              <w:rPr>
                <w:b w:val="0"/>
                <w:sz w:val="19"/>
              </w:rPr>
              <w:t>Exit</w:t>
            </w:r>
          </w:p>
        </w:tc>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shd w:fill="F5F8F8"/>
            <w:tcMar>
              <w:top w:w="80" w:type="dxa"/>
              <w:left w:w="80" w:type="dxa"/>
              <w:bottom w:w="80" w:type="dxa"/>
              <w:right w:w="80" w:type="dxa"/>
            </w:tcMar>
          </w:tcPr>
          <w:p>
            <w:pPr>
              <w:spacing w:after="60"/>
            </w:pPr>
            <w:r>
              <w:rPr>
                <w:b w:val="0"/>
                <w:sz w:val="19"/>
              </w:rPr>
              <w:t>3</w:t>
            </w:r>
          </w:p>
        </w:tc>
      </w:tr>
      <w:tr>
        <w:tc>
          <w:tcPr>
            <w:tcW w:type="dxa" w:w="782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60"/>
            </w:pPr>
            <w:r>
              <w:rPr>
                <w:b w:val="0"/>
                <w:sz w:val="19"/>
              </w:rPr>
              <w:t>Vocabulary and hidden staff references</w:t>
            </w:r>
          </w:p>
        </w:tc>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60"/>
            </w:pPr>
            <w:r>
              <w:rPr>
                <w:b w:val="0"/>
                <w:sz w:val="19"/>
              </w:rPr>
              <w:t>0</w:t>
            </w:r>
          </w:p>
        </w:tc>
      </w:tr>
      <w:tr>
        <w:tc>
          <w:tcPr>
            <w:tcW w:type="dxa" w:w="7824"/>
            <w:vAlign w:val="center"/>
            <w:tcBorders>
              <w:top w:val="single" w:sz="4" w:color="D9D9D9"/>
              <w:left w:val="single" w:sz="4" w:color="D9D9D9"/>
              <w:bottom w:val="single" w:sz="4" w:color="D9D9D9"/>
              <w:right w:val="single" w:sz="4" w:color="D9D9D9"/>
              <w:insideH w:val="single" w:sz="4" w:color="D9D9D9"/>
              <w:insideV w:val="single" w:sz="4" w:color="D9D9D9"/>
            </w:tcBorders>
            <w:shd w:fill="F5F8F8"/>
            <w:tcMar>
              <w:top w:w="80" w:type="dxa"/>
              <w:left w:w="80" w:type="dxa"/>
              <w:bottom w:w="80" w:type="dxa"/>
              <w:right w:w="80" w:type="dxa"/>
            </w:tcMar>
          </w:tcPr>
          <w:p>
            <w:pPr>
              <w:spacing w:after="60"/>
            </w:pPr>
            <w:r>
              <w:rPr>
                <w:b w:val="0"/>
                <w:sz w:val="19"/>
              </w:rPr>
              <w:t>Total</w:t>
            </w:r>
          </w:p>
        </w:tc>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shd w:fill="F5F8F8"/>
            <w:tcMar>
              <w:top w:w="80" w:type="dxa"/>
              <w:left w:w="80" w:type="dxa"/>
              <w:bottom w:w="80" w:type="dxa"/>
              <w:right w:w="80" w:type="dxa"/>
            </w:tcMar>
          </w:tcPr>
          <w:p>
            <w:pPr>
              <w:spacing w:after="60"/>
            </w:pPr>
            <w:r>
              <w:rPr>
                <w:b w:val="0"/>
                <w:sz w:val="19"/>
              </w:rPr>
              <w:t>40</w:t>
            </w:r>
          </w:p>
        </w:tc>
      </w:tr>
    </w:tbl>
    <w:p>
      <w:pPr>
        <w:pStyle w:val="Heading2"/>
      </w:pPr>
      <w:r>
        <w:t>Preparation and kit</w:t>
      </w:r>
    </w:p>
    <w:p>
      <w:r>
        <w:rPr>
          <w:sz w:val="20"/>
        </w:rPr>
        <w:t xml:space="preserve">Each learner’s project plan and dated evidence; actual L4 feedback, yield and labels; L5 goals and provisional targets; checked ingredient and pack costs; calculators; books; L6-E1 with grid and cost/menu annexes; support and vocabulary mats. Adult device only. No cooking or tasting in this lesson.</w:t>
      </w:r>
    </w:p>
    <w:p>
      <w:r>
        <w:rPr>
          <w:sz w:val="20"/>
        </w:rPr>
        <w:t>Sale arrangement: Thursday 3 December 2026, 13:30–14:10. Change the source sale_event once and regenerate every edition if the owner changes it.</w:t>
      </w:r>
    </w:p>
    <w:p>
      <w:r>
        <w:br w:type="page"/>
      </w:r>
    </w:p>
    <w:p>
      <w:pPr>
        <w:pStyle w:val="Title"/>
      </w:pPr>
      <w:r>
        <w:t>Teaching decisions and access</w:t>
      </w:r>
    </w:p>
    <w:p>
      <w:pPr>
        <w:pStyle w:val="Heading2"/>
      </w:pPr>
      <w:r>
        <w:t>I DO and WE DO</w:t>
      </w:r>
    </w:p>
    <w:p>
      <w:r>
        <w:rPr>
          <w:sz w:val="20"/>
        </w:rPr>
        <w:t>Show the named-tool process, then one complete cost chain. All model prices are practice figures. Food 480p + packs 120p = 600p. Twelve saleable pieces cost 50p each. At £1 each, twelve sales give £12; less £6 costs leaves £6. This assumes every piece sells with no extra costs. Read actual feedback before choosing a real price.</w:t>
      </w:r>
    </w:p>
    <w:p>
      <w:pPr>
        <w:pStyle w:val="Heading2"/>
      </w:pPr>
      <w:r>
        <w:t>Hinge and likely errors</w:t>
      </w:r>
    </w:p>
    <w:p>
      <w:r>
        <w:rPr>
          <w:sz w:val="20"/>
        </w:rPr>
        <w:t>Correct answer B £6. A £12 confuses takings with money left after costs. C £0.50 is one portion’s cost. Re-model with the calculator before independent work if needed.</w:t>
      </w:r>
    </w:p>
    <w:p>
      <w:pPr>
        <w:pStyle w:val="Heading2"/>
      </w:pPr>
      <w:r>
        <w:t>One learner and one real issue</w:t>
      </w:r>
    </w:p>
    <w:p>
      <w:r>
        <w:rPr>
          <w:sz w:val="20"/>
        </w:rPr>
        <w:t>Use individual stations. Each learner chooses a real issue shown by feedback, compares choices with a named tool from their earlier learning, checks facts and explains a decision. Support can read, rephrase or scribe exact words, but cannot supply the assessed issue, tool, idea or reason.</w:t>
      </w:r>
    </w:p>
    <w:p>
      <w:pPr>
        <w:pStyle w:val="Heading2"/>
      </w:pPr>
      <w:r>
        <w:t>Three routes</w:t>
      </w:r>
    </w:p>
    <w:p>
      <w:r>
        <w:rPr>
          <w:sz w:val="20"/>
        </w:rPr>
        <w:t>SUPPORTED: two relevant choices, sentence frame and exact scribe. STANDARD: compare choices with a named tool and evidence. STRETCH: test a limit or trade-off and name the next check. The learning goal and individual evidence stay the same.</w:t>
      </w:r>
    </w:p>
    <w:p>
      <w:pPr>
        <w:pStyle w:val="Heading2"/>
      </w:pPr>
      <w:r>
        <w:t>SoW adaptations</w:t>
      </w:r>
    </w:p>
    <w:p>
      <w:r>
        <w:rPr>
          <w:sz w:val="20"/>
        </w:rPr>
        <w:t>Give concrete scenarios to solve; one issue per student; use choice cards and calculator support.</w:t>
      </w:r>
    </w:p>
    <w:p>
      <w:pPr>
        <w:pStyle w:val="Heading2"/>
      </w:pPr>
      <w:r>
        <w:t>Regulation and EAL</w:t>
      </w:r>
    </w:p>
    <w:p>
      <w:r>
        <w:rPr>
          <w:sz w:val="20"/>
        </w:rPr>
        <w:t>Private BLUE/GREEN/AMBER/RED check. Quiet seat, water, movement pause and one clear return step. Pre-teach the picture vocabulary. Use the sentence frames on both You Do tasks. The adult handles a voice note or photo; no pupil phone or board typing.</w:t>
      </w:r>
    </w:p>
    <w:p>
      <w:r>
        <w:br w:type="page"/>
      </w:r>
    </w:p>
    <w:p>
      <w:pPr>
        <w:pStyle w:val="Title"/>
      </w:pPr>
      <w:r>
        <w:t>Final plan and evidence checks</w:t>
      </w:r>
    </w:p>
    <w:p>
      <w:pPr>
        <w:pStyle w:val="Heading2"/>
      </w:pPr>
      <w:r>
        <w:t>Group final decisions</w:t>
      </w:r>
    </w:p>
    <w:p>
      <w:r>
        <w:rPr>
          <w:sz w:val="20"/>
        </w:rPr>
        <w:t>During evidence capture hear each individual proposal. Record product, batches, saleable pieces and unit price in the shared menu. Link each proposal to a learner ID or evidence reference in the private record. Record accepted, changed or pending, with reason. Learners retain their personal contribution in L6-E1. A class vote or shared menu alone is not individual evidence.</w:t>
      </w:r>
    </w:p>
    <w:p>
      <w:pPr>
        <w:pStyle w:val="Heading2"/>
      </w:pPr>
      <w:r>
        <w:t>Missing real information</w:t>
      </w:r>
    </w:p>
    <w:p>
      <w:r>
        <w:rPr>
          <w:sz w:val="20"/>
        </w:rPr>
        <w:t>If real costs, yield, staff demand, ingredients or permissions are missing, mark that menu line PENDING. Name a person to check and a due point before buying or publicity. Do not invent trial comments, votes, final totals or learner choices. A missed trial leads to a later real evidence opportunity.</w:t>
      </w:r>
    </w:p>
    <w:p>
      <w:pPr>
        <w:pStyle w:val="Heading2"/>
      </w:pPr>
      <w:r>
        <w:t>AfL and feedback</w:t>
      </w:r>
    </w:p>
    <w:p>
      <w:r>
        <w:rPr>
          <w:sz w:val="20"/>
        </w:rPr>
        <w:t>Retrieval checks the L5 goal, tool and trial detail. WE DO hinge checks costing. Evidence check checks ownership, date, plan target, tool and supporting fact. Exit checks change and reason. Use only VF, WS, I, NS, E, R. Give a next step, allow the learner’s own response and record R after that response. Capture permitted evidence in the evidence app.</w:t>
      </w:r>
    </w:p>
    <w:p>
      <w:pPr>
        <w:pStyle w:val="Heading2"/>
      </w:pPr>
      <w:r>
        <w:t>Lundy</w:t>
      </w:r>
    </w:p>
    <w:p>
      <w:r>
        <w:rPr>
          <w:sz w:val="20"/>
        </w:rPr>
        <w:t>Space: private/quiet response or scribe. Voice: own issue, choice and reason. Audience: project teacher with authority. Influence: visible menu/price/quantity change or a dated explanation of a pending proposal.</w:t>
      </w:r>
    </w:p>
    <w:p>
      <w:pPr>
        <w:pStyle w:val="Heading2"/>
      </w:pPr>
      <w:r>
        <w:t>Three Cold Call questions</w:t>
      </w:r>
    </w:p>
    <w:p>
      <w:r>
        <w:rPr>
          <w:sz w:val="20"/>
        </w:rPr>
        <w:t>1 Which fact or sum helped you choose? Expect a real detail and named tool. 2 Why is money from sales not all money to give? Expect agreed costs deducted. 3 What changed because of your idea? Expect a specific change or pending check.</w:t>
      </w:r>
    </w:p>
    <w:p>
      <w:pPr>
        <w:pStyle w:val="Heading2"/>
      </w:pPr>
      <w:r>
        <w:t xml:space="preserve">Offer to the Communication portfolio</w:t>
      </w:r>
    </w:p>
    <w:p>
      <w:r>
        <w:rPr>
          <w:sz w:val="20"/>
        </w:rPr>
        <w:t xml:space="preserve">Speaking: explain a real issue, compare choices and give a reason for a menu proposal. Listening: respond to another proposal and the teacher’s checks. Writing: record a problem, costs and a personal plan change. Presenting: explain a checked fact or sum and how it supports the final decision. The other teacher can select these moments and map the evidence against her Communication booklet.</w:t>
      </w:r>
    </w:p>
    <w:p>
      <w:r>
        <w:br w:type="page"/>
      </w:r>
    </w:p>
    <w:p>
      <w:pPr>
        <w:pStyle w:val="Title"/>
      </w:pPr>
      <w:r>
        <w:t>Safety and coverage record</w:t>
      </w:r>
    </w:p>
    <w:p>
      <w:pPr>
        <w:pStyle w:val="Heading2"/>
      </w:pPr>
      <w:r>
        <w:t>Project before sale checklist</w:t>
      </w:r>
    </w:p>
    <w:tbl>
      <w:tblPr>
        <w:tblW w:type="auto" w:w="0"/>
        <w:jc w:val="center"/>
        <w:tblLayout w:type="fixed"/>
        <w:tblLook w:firstColumn="1" w:firstRow="1" w:lastColumn="0" w:lastRow="0" w:noHBand="0" w:noVBand="1" w:val="04A0"/>
      </w:tblPr>
      <w:tblGrid>
        <w:gridCol w:w="7257"/>
        <w:gridCol w:w="2835"/>
      </w:tblGrid>
      <w:tr>
        <w:trPr>
          <w:tblHeader/>
        </w:trPr>
        <w:tc>
          <w:tcPr>
            <w:tcW w:type="dxa" w:w="7257"/>
            <w:vAlign w:val="center"/>
            <w:tcBorders>
              <w:top w:val="single" w:sz="4" w:color="D9D9D9"/>
              <w:left w:val="single" w:sz="4" w:color="D9D9D9"/>
              <w:bottom w:val="single" w:sz="4" w:color="D9D9D9"/>
              <w:right w:val="single" w:sz="4" w:color="D9D9D9"/>
              <w:insideH w:val="single" w:sz="4" w:color="D9D9D9"/>
              <w:insideV w:val="single" w:sz="4" w:color="D9D9D9"/>
            </w:tcBorders>
            <w:shd w:fill="E8EFF0"/>
            <w:tcMar>
              <w:top w:w="80" w:type="dxa"/>
              <w:left w:w="80" w:type="dxa"/>
              <w:bottom w:w="80" w:type="dxa"/>
              <w:right w:w="80" w:type="dxa"/>
            </w:tcMar>
          </w:tcPr>
          <w:p>
            <w:pPr>
              <w:spacing w:after="60"/>
            </w:pPr>
            <w:r>
              <w:rPr>
                <w:b/>
                <w:sz w:val="20"/>
              </w:rPr>
              <w:t>Project requirement</w:t>
            </w:r>
          </w:p>
        </w:tc>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shd w:fill="E8EFF0"/>
            <w:tcMar>
              <w:top w:w="80" w:type="dxa"/>
              <w:left w:w="80" w:type="dxa"/>
              <w:bottom w:w="80" w:type="dxa"/>
              <w:right w:w="80" w:type="dxa"/>
            </w:tcMar>
          </w:tcPr>
          <w:p>
            <w:pPr>
              <w:spacing w:after="60"/>
            </w:pPr>
            <w:r>
              <w:rPr>
                <w:b/>
                <w:sz w:val="20"/>
              </w:rPr>
              <w:t>Check date and staff initials</w:t>
            </w:r>
          </w:p>
        </w:tc>
      </w:tr>
      <w:tr>
        <w:tc>
          <w:tcPr>
            <w:tcW w:type="dxa" w:w="7257"/>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60"/>
            </w:pPr>
            <w:r>
              <w:rPr>
                <w:b w:val="0"/>
                <w:sz w:val="20"/>
              </w:rPr>
              <w:t>Food handlers have the required project training</w:t>
            </w:r>
          </w:p>
        </w:tc>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60"/>
            </w:pPr>
            <w:r>
              <w:rPr>
                <w:b w:val="0"/>
                <w:sz w:val="20"/>
              </w:rPr>
            </w:r>
          </w:p>
        </w:tc>
      </w:tr>
      <w:tr>
        <w:tc>
          <w:tcPr>
            <w:tcW w:type="dxa" w:w="7257"/>
            <w:vAlign w:val="center"/>
            <w:tcBorders>
              <w:top w:val="single" w:sz="4" w:color="D9D9D9"/>
              <w:left w:val="single" w:sz="4" w:color="D9D9D9"/>
              <w:bottom w:val="single" w:sz="4" w:color="D9D9D9"/>
              <w:right w:val="single" w:sz="4" w:color="D9D9D9"/>
              <w:insideH w:val="single" w:sz="4" w:color="D9D9D9"/>
              <w:insideV w:val="single" w:sz="4" w:color="D9D9D9"/>
            </w:tcBorders>
            <w:shd w:fill="F5F8F8"/>
            <w:tcMar>
              <w:top w:w="80" w:type="dxa"/>
              <w:left w:w="80" w:type="dxa"/>
              <w:bottom w:w="80" w:type="dxa"/>
              <w:right w:w="80" w:type="dxa"/>
            </w:tcMar>
          </w:tcPr>
          <w:p>
            <w:pPr>
              <w:spacing w:after="60"/>
            </w:pPr>
            <w:r>
              <w:rPr>
                <w:b w:val="0"/>
                <w:sz w:val="20"/>
              </w:rPr>
              <w:t>Every ingredient and changed recipe checked for allergens</w:t>
            </w:r>
          </w:p>
        </w:tc>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shd w:fill="F5F8F8"/>
            <w:tcMar>
              <w:top w:w="80" w:type="dxa"/>
              <w:left w:w="80" w:type="dxa"/>
              <w:bottom w:w="80" w:type="dxa"/>
              <w:right w:w="80" w:type="dxa"/>
            </w:tcMar>
          </w:tcPr>
          <w:p>
            <w:pPr>
              <w:spacing w:after="60"/>
            </w:pPr>
            <w:r>
              <w:rPr>
                <w:b w:val="0"/>
                <w:sz w:val="20"/>
              </w:rPr>
            </w:r>
          </w:p>
        </w:tc>
      </w:tr>
      <w:tr>
        <w:tc>
          <w:tcPr>
            <w:tcW w:type="dxa" w:w="7257"/>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60"/>
            </w:pPr>
            <w:r>
              <w:rPr>
                <w:b w:val="0"/>
                <w:sz w:val="20"/>
              </w:rPr>
              <w:t>Every item has a checked ingredient and allergen label</w:t>
            </w:r>
          </w:p>
        </w:tc>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60"/>
            </w:pPr>
            <w:r>
              <w:rPr>
                <w:b w:val="0"/>
                <w:sz w:val="20"/>
              </w:rPr>
            </w:r>
          </w:p>
        </w:tc>
      </w:tr>
      <w:tr>
        <w:tc>
          <w:tcPr>
            <w:tcW w:type="dxa" w:w="7257"/>
            <w:vAlign w:val="center"/>
            <w:tcBorders>
              <w:top w:val="single" w:sz="4" w:color="D9D9D9"/>
              <w:left w:val="single" w:sz="4" w:color="D9D9D9"/>
              <w:bottom w:val="single" w:sz="4" w:color="D9D9D9"/>
              <w:right w:val="single" w:sz="4" w:color="D9D9D9"/>
              <w:insideH w:val="single" w:sz="4" w:color="D9D9D9"/>
              <w:insideV w:val="single" w:sz="4" w:color="D9D9D9"/>
            </w:tcBorders>
            <w:shd w:fill="F5F8F8"/>
            <w:tcMar>
              <w:top w:w="80" w:type="dxa"/>
              <w:left w:w="80" w:type="dxa"/>
              <w:bottom w:w="80" w:type="dxa"/>
              <w:right w:w="80" w:type="dxa"/>
            </w:tcMar>
          </w:tcPr>
          <w:p>
            <w:pPr>
              <w:spacing w:after="60"/>
            </w:pPr>
            <w:r>
              <w:rPr>
                <w:b w:val="0"/>
                <w:sz w:val="20"/>
              </w:rPr>
              <w:t>Display space and adult permission agreed</w:t>
            </w:r>
          </w:p>
        </w:tc>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shd w:fill="F5F8F8"/>
            <w:tcMar>
              <w:top w:w="80" w:type="dxa"/>
              <w:left w:w="80" w:type="dxa"/>
              <w:bottom w:w="80" w:type="dxa"/>
              <w:right w:w="80" w:type="dxa"/>
            </w:tcMar>
          </w:tcPr>
          <w:p>
            <w:pPr>
              <w:spacing w:after="60"/>
            </w:pPr>
            <w:r>
              <w:rPr>
                <w:b w:val="0"/>
                <w:sz w:val="20"/>
              </w:rPr>
            </w:r>
          </w:p>
        </w:tc>
      </w:tr>
      <w:tr>
        <w:tc>
          <w:tcPr>
            <w:tcW w:type="dxa" w:w="7257"/>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60"/>
            </w:pPr>
            <w:r>
              <w:rPr>
                <w:b w:val="0"/>
                <w:sz w:val="20"/>
              </w:rPr>
              <w:t>Money handling and cash supervision assigned to an adult</w:t>
            </w:r>
          </w:p>
        </w:tc>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60"/>
            </w:pPr>
            <w:r>
              <w:rPr>
                <w:b w:val="0"/>
                <w:sz w:val="20"/>
              </w:rPr>
            </w:r>
          </w:p>
        </w:tc>
      </w:tr>
      <w:tr>
        <w:tc>
          <w:tcPr>
            <w:tcW w:type="dxa" w:w="7257"/>
            <w:vAlign w:val="center"/>
            <w:tcBorders>
              <w:top w:val="single" w:sz="4" w:color="D9D9D9"/>
              <w:left w:val="single" w:sz="4" w:color="D9D9D9"/>
              <w:bottom w:val="single" w:sz="4" w:color="D9D9D9"/>
              <w:right w:val="single" w:sz="4" w:color="D9D9D9"/>
              <w:insideH w:val="single" w:sz="4" w:color="D9D9D9"/>
              <w:insideV w:val="single" w:sz="4" w:color="D9D9D9"/>
            </w:tcBorders>
            <w:shd w:fill="F5F8F8"/>
            <w:tcMar>
              <w:top w:w="80" w:type="dxa"/>
              <w:left w:w="80" w:type="dxa"/>
              <w:bottom w:w="80" w:type="dxa"/>
              <w:right w:w="80" w:type="dxa"/>
            </w:tcMar>
          </w:tcPr>
          <w:p>
            <w:pPr>
              <w:spacing w:after="60"/>
            </w:pPr>
            <w:r>
              <w:rPr>
                <w:b w:val="0"/>
                <w:sz w:val="20"/>
              </w:rPr>
              <w:t xml:space="preserve">Individual project evidence arrangements confirmed</w:t>
            </w:r>
          </w:p>
        </w:tc>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shd w:fill="F5F8F8"/>
            <w:tcMar>
              <w:top w:w="80" w:type="dxa"/>
              <w:left w:w="80" w:type="dxa"/>
              <w:bottom w:w="80" w:type="dxa"/>
              <w:right w:w="80" w:type="dxa"/>
            </w:tcMar>
          </w:tcPr>
          <w:p>
            <w:pPr>
              <w:spacing w:after="60"/>
            </w:pPr>
            <w:r>
              <w:rPr>
                <w:b w:val="0"/>
                <w:sz w:val="20"/>
              </w:rPr>
            </w:r>
          </w:p>
        </w:tc>
      </w:tr>
      <w:tr>
        <w:tc>
          <w:tcPr>
            <w:tcW w:type="dxa" w:w="7257"/>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60"/>
            </w:pPr>
            <w:r>
              <w:rPr>
                <w:b w:val="0"/>
                <w:sz w:val="20"/>
              </w:rPr>
              <w:t>Food-business registration need checked with the local authority</w:t>
            </w:r>
          </w:p>
        </w:tc>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60"/>
            </w:pPr>
            <w:r>
              <w:rPr>
                <w:b w:val="0"/>
                <w:sz w:val="20"/>
              </w:rPr>
            </w:r>
          </w:p>
        </w:tc>
      </w:tr>
    </w:tbl>
    <w:p>
      <w:r>
        <w:rPr>
          <w:sz w:val="20"/>
        </w:rPr>
        <w:t>These are project requirements. FSA guidance does not impose a food-hygiene certificate on every charity event. The local authority decides whether food-business registration is needed. Registered businesses follow allergen law; where registration is not needed, FSA recommends providing allergen information. Safe food is always required.</w:t>
      </w:r>
    </w:p>
    <w:p>
      <w:r>
        <w:rPr>
          <w:sz w:val="20"/>
        </w:rPr>
        <w:t>An adult checks ingredients, labels, packaging, cross-contact risks and storage before approving a change. Do not assume removing one ingredient makes an item safe for a person with an allergy. No food is prepared or tasted in Lesson 6.</w:t>
      </w:r>
    </w:p>
    <w:p>
      <w:pPr>
        <w:pStyle w:val="Heading2"/>
      </w:pPr>
      <w:r>
        <w:t>Change from SoW and why</w:t>
      </w:r>
    </w:p>
    <w:p>
      <w:r>
        <w:rPr>
          <w:sz w:val="20"/>
        </w:rPr>
        <w:t>Aut1 W4 costing was not taught separately. It is covered here in the worked costing and personal revised budget, alongside the unchanged Aut2 W1 problem-solving row. The new Thursday-only timetable places this SoW week in calendar W9: Thursday 5 November, P5 12:50–13:30. The Lesson 5 review is prior learning; its delivery date is not reassigned here.</w:t>
      </w:r>
    </w:p>
    <w:p>
      <w:pPr>
        <w:pStyle w:val="Heading2"/>
      </w:pPr>
      <w:r>
        <w:t>Effect on coverage</w:t>
      </w:r>
    </w:p>
    <w:p>
      <w:r>
        <w:rPr>
          <w:sz w:val="20"/>
        </w:rPr>
        <w:t>The problem/solution grid, revised budget, final or explicitly pending menu and personal plan update address Aut2 W1. The full worked costing and real cost-used calculation cover deferred Aut1 W4. Source task, evidence, adaptations and exit wording remain in LESSON_SOURCE.json. Accepted Lessons 3–5 are unchanged.</w:t>
      </w:r>
    </w:p>
    <w:p>
      <w:pPr>
        <w:pStyle w:val="Heading2"/>
      </w:pPr>
      <w:r>
        <w:t xml:space="preserve">Project history and sources</w:t>
      </w:r>
    </w:p>
    <w:p>
      <w:r>
        <w:rPr>
          <w:sz w:val="18"/>
        </w:rPr>
        <w:t xml:space="preserve">Lessons 1–2 were mapped by cover to a unit the learners are not registered on; their evidence is retained as project history.</w:t>
        <w:br/>
        <w:t xml:space="preserve">Owner accreditation ruling, 22 October 2026. Relative-path provenance is in LESSON_SOURCE.json.</w:t>
      </w:r>
    </w:p>
    <w:p>
      <w:r>
        <w:rPr>
          <w:sz w:val="18"/>
        </w:rPr>
        <w:t>FSA: https://www.food.gov.uk/safety-hygiene/providing-food-at-community-and-charity-events</w:t>
      </w:r>
    </w:p>
    <w:p>
      <w:r>
        <w:rPr>
          <w:sz w:val="20"/>
        </w:rPr>
        <w:t>Staff completion: real costs checked __; menu final/pending __; own evidence checked __; next action and due point __.</w:t>
      </w:r>
    </w:p>
    <w:sectPr w:rsidR="00FC693F" w:rsidRPr="0006063C" w:rsidSect="00034616">
      <w:headerReference w:type="default" r:id="rId9"/>
      <w:footerReference w:type="default" r:id="rId10"/>
      <w:pgSz w:w="11906" w:h="16838"/>
      <w:pgMar w:top="737" w:right="794" w:bottom="737"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2"/>
      </w:rPr>
      <w:t>Made by Matt · © Matt Roper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COMM-GROW-A2-W01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Segoe UI" w:hAnsi="Segoe U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Segoe UI" w:hAnsi="Segoe UI"/>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Segoe UI" w:hAnsi="Segoe UI"/>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Segoe UI" w:hAnsi="Segoe U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Segoe UI" w:hAnsi="Segoe U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Segoe UI" w:hAnsi="Segoe U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Segoe UI" w:hAnsi="Segoe U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Segoe UI" w:hAnsi="Segoe U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Segoe UI" w:hAnsi="Segoe U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Segoe UI" w:hAnsi="Segoe U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Segoe UI" w:hAnsi="Segoe U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Segoe UI" w:hAnsi="Segoe UI"/>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Segoe UI" w:hAnsi="Segoe UI"/>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Segoe UI" w:hAnsi="Segoe U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Segoe UI" w:hAnsi="Segoe UI"/>
      <w:color w:val="000000"/>
    </w:rPr>
  </w:style>
  <w:style w:type="paragraph" w:styleId="BodyText">
    <w:name w:val="Body Text"/>
    <w:basedOn w:val="Normal"/>
    <w:link w:val="BodyTextChar"/>
    <w:uiPriority w:val="99"/>
    <w:unhideWhenUsed/>
    <w:rsid w:val="00AA1D8D"/>
    <w:pPr>
      <w:spacing w:after="120"/>
    </w:pPr>
    <w:rPr>
      <w:rFonts w:ascii="Segoe UI" w:hAnsi="Segoe UI"/>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Segoe UI" w:hAnsi="Segoe UI"/>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Segoe UI" w:hAnsi="Segoe UI"/>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Segoe UI" w:hAnsi="Segoe UI"/>
      <w:color w:val="000000"/>
    </w:rPr>
  </w:style>
  <w:style w:type="paragraph" w:styleId="List2">
    <w:name w:val="List 2"/>
    <w:basedOn w:val="Normal"/>
    <w:uiPriority w:val="99"/>
    <w:unhideWhenUsed/>
    <w:rsid w:val="00326F90"/>
    <w:pPr>
      <w:ind w:left="720" w:hanging="360"/>
      <w:contextualSpacing/>
    </w:pPr>
    <w:rPr>
      <w:rFonts w:ascii="Segoe UI" w:hAnsi="Segoe UI"/>
      <w:color w:val="000000"/>
    </w:rPr>
  </w:style>
  <w:style w:type="paragraph" w:styleId="List3">
    <w:name w:val="List 3"/>
    <w:basedOn w:val="Normal"/>
    <w:uiPriority w:val="99"/>
    <w:unhideWhenUsed/>
    <w:rsid w:val="00326F90"/>
    <w:pPr>
      <w:ind w:left="1080" w:hanging="360"/>
      <w:contextualSpacing/>
    </w:pPr>
    <w:rPr>
      <w:rFonts w:ascii="Segoe UI" w:hAnsi="Segoe UI"/>
      <w:color w:val="000000"/>
    </w:rPr>
  </w:style>
  <w:style w:type="paragraph" w:styleId="ListBullet">
    <w:name w:val="List Bullet"/>
    <w:basedOn w:val="Normal"/>
    <w:uiPriority w:val="99"/>
    <w:unhideWhenUsed/>
    <w:rsid w:val="00326F90"/>
    <w:pPr>
      <w:numPr>
        <w:numId w:val="1"/>
      </w:numPr>
      <w:contextualSpacing/>
    </w:pPr>
    <w:rPr>
      <w:rFonts w:ascii="Segoe UI" w:hAnsi="Segoe UI"/>
      <w:color w:val="000000"/>
    </w:rPr>
  </w:style>
  <w:style w:type="paragraph" w:styleId="ListBullet2">
    <w:name w:val="List Bullet 2"/>
    <w:basedOn w:val="Normal"/>
    <w:uiPriority w:val="99"/>
    <w:unhideWhenUsed/>
    <w:rsid w:val="00326F90"/>
    <w:pPr>
      <w:numPr>
        <w:numId w:val="2"/>
      </w:numPr>
      <w:contextualSpacing/>
    </w:pPr>
    <w:rPr>
      <w:rFonts w:ascii="Segoe UI" w:hAnsi="Segoe UI"/>
      <w:color w:val="000000"/>
    </w:rPr>
  </w:style>
  <w:style w:type="paragraph" w:styleId="ListBullet3">
    <w:name w:val="List Bullet 3"/>
    <w:basedOn w:val="Normal"/>
    <w:uiPriority w:val="99"/>
    <w:unhideWhenUsed/>
    <w:rsid w:val="00326F90"/>
    <w:pPr>
      <w:numPr>
        <w:numId w:val="3"/>
      </w:numPr>
      <w:contextualSpacing/>
    </w:pPr>
    <w:rPr>
      <w:rFonts w:ascii="Segoe UI" w:hAnsi="Segoe UI"/>
      <w:color w:val="000000"/>
    </w:rPr>
  </w:style>
  <w:style w:type="paragraph" w:styleId="ListNumber">
    <w:name w:val="List Number"/>
    <w:basedOn w:val="Normal"/>
    <w:uiPriority w:val="99"/>
    <w:unhideWhenUsed/>
    <w:rsid w:val="00326F90"/>
    <w:pPr>
      <w:numPr>
        <w:numId w:val="5"/>
      </w:numPr>
      <w:contextualSpacing/>
    </w:pPr>
    <w:rPr>
      <w:rFonts w:ascii="Segoe UI" w:hAnsi="Segoe UI"/>
      <w:color w:val="000000"/>
    </w:rPr>
  </w:style>
  <w:style w:type="paragraph" w:styleId="ListNumber2">
    <w:name w:val="List Number 2"/>
    <w:basedOn w:val="Normal"/>
    <w:uiPriority w:val="99"/>
    <w:unhideWhenUsed/>
    <w:rsid w:val="0029639D"/>
    <w:pPr>
      <w:numPr>
        <w:numId w:val="6"/>
      </w:numPr>
      <w:contextualSpacing/>
    </w:pPr>
    <w:rPr>
      <w:rFonts w:ascii="Segoe UI" w:hAnsi="Segoe UI"/>
      <w:color w:val="000000"/>
    </w:rPr>
  </w:style>
  <w:style w:type="paragraph" w:styleId="ListNumber3">
    <w:name w:val="List Number 3"/>
    <w:basedOn w:val="Normal"/>
    <w:uiPriority w:val="99"/>
    <w:unhideWhenUsed/>
    <w:rsid w:val="0029639D"/>
    <w:pPr>
      <w:numPr>
        <w:numId w:val="7"/>
      </w:numPr>
      <w:contextualSpacing/>
    </w:pPr>
    <w:rPr>
      <w:rFonts w:ascii="Segoe UI" w:hAnsi="Segoe UI"/>
      <w:color w:val="000000"/>
    </w:rPr>
  </w:style>
  <w:style w:type="paragraph" w:styleId="ListContinue">
    <w:name w:val="List Continue"/>
    <w:basedOn w:val="Normal"/>
    <w:uiPriority w:val="99"/>
    <w:unhideWhenUsed/>
    <w:rsid w:val="0029639D"/>
    <w:pPr>
      <w:spacing w:after="120"/>
      <w:ind w:left="360"/>
      <w:contextualSpacing/>
    </w:pPr>
    <w:rPr>
      <w:rFonts w:ascii="Segoe UI" w:hAnsi="Segoe UI"/>
      <w:color w:val="000000"/>
    </w:rPr>
  </w:style>
  <w:style w:type="paragraph" w:styleId="ListContinue2">
    <w:name w:val="List Continue 2"/>
    <w:basedOn w:val="Normal"/>
    <w:uiPriority w:val="99"/>
    <w:unhideWhenUsed/>
    <w:rsid w:val="0029639D"/>
    <w:pPr>
      <w:spacing w:after="120"/>
      <w:ind w:left="720"/>
      <w:contextualSpacing/>
    </w:pPr>
    <w:rPr>
      <w:rFonts w:ascii="Segoe UI" w:hAnsi="Segoe UI"/>
      <w:color w:val="000000"/>
    </w:rPr>
  </w:style>
  <w:style w:type="paragraph" w:styleId="ListContinue3">
    <w:name w:val="List Continue 3"/>
    <w:basedOn w:val="Normal"/>
    <w:uiPriority w:val="99"/>
    <w:unhideWhenUsed/>
    <w:rsid w:val="0029639D"/>
    <w:pPr>
      <w:spacing w:after="120"/>
      <w:ind w:left="1080"/>
      <w:contextualSpacing/>
    </w:pPr>
    <w:rPr>
      <w:rFonts w:ascii="Segoe UI" w:hAnsi="Segoe UI"/>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Segoe UI" w:hAnsi="Segoe UI"/>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Segoe UI" w:hAnsi="Segoe UI"/>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Segoe UI" w:hAnsi="Segoe UI"/>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Segoe UI" w:hAnsi="Segoe UI"/>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Planner</dc:title>
  <dc:subject>COMM-GROW-A2-W01</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