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 teacher guide</w:t>
      </w:r>
    </w:p>
    <w:p>
      <w:r>
        <w:rPr>
          <w:b w:val="0"/>
          <w:sz w:val="18"/>
        </w:rPr>
        <w:t>Get a result • GROW chassis • 40 minutes</w:t>
      </w:r>
    </w:p>
    <w:p>
      <w:r>
        <w:rPr>
          <w:b w:val="0"/>
        </w:rPr>
        <w:t>Teach one shared lesson with flexible routes. Choose support from the pupil’s current access needs and observed understanding. Pupils may move between routes during the lesson.</w:t>
      </w:r>
    </w:p>
    <w:p>
      <w:r>
        <w:rPr>
          <w:b/>
        </w:rPr>
        <w:t>Core goal: run a program, change its movement value, retest, then save and reopen the changed project.</w:t>
      </w:r>
    </w:p>
    <w:p>
      <w:pPr>
        <w:pStyle w:val="Heading2"/>
      </w:pPr>
      <w:r>
        <w:t>Choose the route at the point of need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960"/>
        <w:gridCol w:w="417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Route</w:t>
            </w:r>
          </w:p>
        </w:tc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Use when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Successful work today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Step by step</w:t>
            </w:r>
          </w:p>
        </w:tc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The pupil understands better with one visible action, a reference, rehearsal or a reduced writing demand.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Same core goal. Give one prompt, then wait. A single tested script in Week 2 is an early milestone; return to create the second.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Main task</w:t>
            </w:r>
          </w:p>
        </w:tc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The pupil can follow the shared model and manage a short sequence with occasional prompts.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Complete the core task, explain one cause and record a useful test.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Challenge</w:t>
            </w:r>
          </w:p>
        </w:tc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The pupil can already demonstrate the core task and explain its result.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Investigate a changed condition or test order. Explain why; do not add a writing quota.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Prepare before pupils arrive</w:t>
      </w:r>
    </w:p>
    <w:p>
      <w:r>
        <w:rPr>
          <w:b w:val="0"/>
        </w:rPr>
        <w:t>Open the HTML or editable PowerPoint. Put the pupil starter in a visible folder. Test Scratch and the school save location. Print the chosen route; the Main task file retains the name Pupil_Booklet. Keep teacher models and these answers with staff.</w:t>
      </w:r>
    </w:p>
    <w:p>
      <w:r>
        <w:rPr>
          <w:b w:val="0"/>
        </w:rPr>
        <w:t>HTML rehearsal is a practice model. Pupils must also use Scratch for actual coding. The HTML text download stores responses; it does not save a Scratch project. Browser Scratch needs internet; an already installed Scratch app can work offline.</w:t>
      </w:r>
    </w:p>
    <w:p>
      <w:r>
        <w:rPr>
          <w:b w:val="0"/>
        </w:rPr>
        <w:t>W01_Start contains a supplied sprite and green-flag practice script: go to (0,0), point 90, move 40, say Arrived. The target is (120,0).</w:t>
      </w:r>
    </w:p>
    <w:p>
      <w:pPr>
        <w:pStyle w:val="Heading2"/>
      </w:pPr>
      <w:r>
        <w:t>AQA destination</w:t>
      </w:r>
    </w:p>
    <w:p>
      <w:r>
        <w:rPr>
          <w:b w:val="0"/>
        </w:rPr>
        <w:t>These lessons build foundations for AQA 71638 Programming with Scratch (unit 6), Level One. Neither Week 1 nor Week 2 completes the full unit. Check all four pupil-created controls in the main maze in Week 4. Supplied or inherited code does not establish pupil authorship.</w:t>
      </w:r>
    </w:p>
    <w:p>
      <w:pPr>
        <w:spacing w:after="100"/>
      </w:pPr>
      <w:hyperlink r:id="rId11">
        <w:r>
          <w:rPr>
            <w:color w:val="19624A"/>
            <w:u w:val="single"/>
          </w:rPr>
          <w:t>Open AQA unit 71638</w:t>
        </w:r>
      </w:hyperlink>
    </w:p>
    <w:p>
      <w:pPr>
        <w:pStyle w:val="Title"/>
        <w:pageBreakBefore/>
      </w:pPr>
      <w:r>
        <w:t>Teach the shared start</w:t>
      </w:r>
    </w:p>
    <w:p>
      <w:r>
        <w:rPr>
          <w:b w:val="0"/>
          <w:sz w:val="18"/>
        </w:rPr>
        <w:t>GROW stages 0 to 18 minutes</w:t>
      </w:r>
    </w:p>
    <w:p>
      <w:pPr>
        <w:pStyle w:val="Heading2"/>
      </w:pPr>
      <w:r>
        <w:t>Arrival  0-3 minutes</w:t>
      </w:r>
    </w:p>
    <w:p>
      <w:r>
        <w:rPr>
          <w:b w:val="0"/>
        </w:rPr>
        <w:t>Show the current and next stage. Offer a settled place, a solo or paired start and the response mode the pupil prefers. Load W01_Start.sb3. Let the pupil attempt file access before helping.</w:t>
      </w:r>
    </w:p>
    <w:p>
      <w:pPr>
        <w:pStyle w:val="Heading2"/>
      </w:pPr>
      <w:r>
        <w:t>Starter  3-6 minutes</w:t>
      </w:r>
    </w:p>
    <w:p>
      <w:r>
        <w:rPr>
          <w:b w:val="0"/>
        </w:rPr>
        <w:t>Ask which travels further from x0 facing right: move 40 or move 100. Take a prediction before running anything.</w:t>
      </w:r>
    </w:p>
    <w:p>
      <w:r>
        <w:rPr>
          <w:b w:val="0"/>
        </w:rPr>
        <w:t>Step by step: point to two choices or rehearse with a token. Main task: give a short reason. Challenge: state what must stay unchanged for the prediction to be fair.</w:t>
      </w:r>
    </w:p>
    <w:p>
      <w:pPr>
        <w:pStyle w:val="Heading2"/>
      </w:pPr>
      <w:r>
        <w:t>I Do  6-11 minutes</w:t>
      </w:r>
    </w:p>
    <w:p>
      <w:r>
        <w:rPr>
          <w:b w:val="0"/>
        </w:rPr>
        <w:t>Model the green-flag stack, start position and direction. Run once while tracing each block; point out that a move value changes distance.</w:t>
      </w:r>
    </w:p>
    <w:p>
      <w:r>
        <w:rPr>
          <w:b w:val="0"/>
        </w:rPr>
        <w:t>Use a separate model. Keep narration to the current block. Pupils point to the cause; do not ask them to copy while watching.</w:t>
      </w:r>
    </w:p>
    <w:p>
      <w:pPr>
        <w:pStyle w:val="Heading2"/>
      </w:pPr>
      <w:r>
        <w:t>We Do  11-18 minutes</w:t>
      </w:r>
    </w:p>
    <w:p>
      <w:r>
        <w:rPr>
          <w:b w:val="0"/>
        </w:rPr>
        <w:t>11–15: predict x40, check an idea with a partner or adult, run, change only move to 100 and retest. Ask what stayed the same. 15–18: predict two runs of 100 with go-to still present; trace the reset each time.</w:t>
      </w:r>
    </w:p>
    <w:p>
      <w:r>
        <w:rPr>
          <w:b w:val="0"/>
        </w:rPr>
        <w:t>Make the shared work consequential: ask two pupils for possible causes, choose a test that distinguishes them, then use the result to keep or revise the explanation. A partner checks reasoning rather than supplies the answer. Give each pupil an input, prediction or explanation role; swap roles.</w:t>
      </w:r>
    </w:p>
    <w:p>
      <w:pPr>
        <w:pStyle w:val="Heading2"/>
      </w:pPr>
      <w:r>
        <w:t>Decide the next prompt</w:t>
      </w:r>
    </w:p>
    <w:p>
      <w:r>
        <w:rPr>
          <w:b w:val="0"/>
        </w:rPr>
        <w:t>First allow thinking time. Then point to the relevant step or block category. Ask a general question such as “What changed?” Give a precise model only when needed, and offer a fresh attempt afterwards. Record the help that made access possible.</w:t>
      </w:r>
    </w:p>
    <w:p>
      <w:pPr>
        <w:pStyle w:val="Title"/>
        <w:pageBreakBefore/>
      </w:pPr>
      <w:r>
        <w:t>Teach the task and exit</w:t>
      </w:r>
    </w:p>
    <w:p>
      <w:r>
        <w:rPr>
          <w:b w:val="0"/>
          <w:sz w:val="18"/>
        </w:rPr>
        <w:t>GROW stages 18 to 40 minutes</w:t>
      </w:r>
    </w:p>
    <w:p>
      <w:pPr>
        <w:pStyle w:val="Heading2"/>
      </w:pPr>
      <w:r>
        <w:t>I Do 2  18-21 minutes</w:t>
      </w:r>
    </w:p>
    <w:p>
      <w:r>
        <w:rPr>
          <w:b w:val="0"/>
        </w:rPr>
        <w:t>Model File &gt; Save to your computer. Explain where a browser download lands. Locate the .sb3 file in the school folder, then model File &gt; Load from your computer. Save before loading another project.</w:t>
      </w:r>
    </w:p>
    <w:p>
      <w:pPr>
        <w:pStyle w:val="Heading2"/>
      </w:pPr>
      <w:r>
        <w:t>We Do 2 · Task  21-25 minutes</w:t>
      </w:r>
    </w:p>
    <w:p>
      <w:r>
        <w:rPr>
          <w:b w:val="0"/>
        </w:rPr>
        <w:t>Ask pupils to choose the move value for the x120 marker from x0. Hear a reason before testing. Accept a number-track demonstration. Agree the test: reset and run twice.</w:t>
      </w:r>
    </w:p>
    <w:p>
      <w:pPr>
        <w:pStyle w:val="Heading2"/>
      </w:pPr>
      <w:r>
        <w:t>Independent Task  25-35 minutes</w:t>
      </w:r>
    </w:p>
    <w:p>
      <w:r>
        <w:rPr>
          <w:b w:val="0"/>
        </w:rPr>
        <w:t>Each pupil changes the supplied move value to 120, chooses a short message and tests two green-flag runs. Observe the pupil’s change. Challenge pupils investigate x160 or the HTML reset comparison.</w:t>
      </w:r>
    </w:p>
    <w:p>
      <w:r>
        <w:rPr>
          <w:b w:val="0"/>
        </w:rPr>
        <w:t>25–32: build and test. 32–35: each pupil explains a cause, shows a result and makes a meaningful choice. One shared device requires individual construction turns. Do not count a partner’s mouse actions as the other pupil’s creation.</w:t>
      </w:r>
    </w:p>
    <w:p>
      <w:pPr>
        <w:pStyle w:val="Heading2"/>
      </w:pPr>
      <w:r>
        <w:t>Exit  35-40 minutes</w:t>
      </w:r>
    </w:p>
    <w:p>
      <w:r>
        <w:rPr>
          <w:b w:val="0"/>
        </w:rPr>
        <w:t>Protect 35–40 for saving as W01_MyCode.sb3, locating and reopening that saved project, then rerunning. Accept a private demonstration. Record the pupil’s words and respond to their choice; no pupil-facing adult signature is required.</w:t>
      </w:r>
    </w:p>
    <w:p>
      <w:pPr>
        <w:pStyle w:val="Heading2"/>
      </w:pPr>
      <w:r>
        <w:t>Close the pupil voice loop</w:t>
      </w:r>
    </w:p>
    <w:p>
      <w:r>
        <w:rPr>
          <w:b w:val="0"/>
        </w:rPr>
        <w:t>Invite a message choice or a request about testing help. Ask “What will help you check your code?” Act on a feasible request now, such as a quiet test partner or token rehearsal.</w:t>
      </w:r>
    </w:p>
    <w:p>
      <w:r>
        <w:rPr>
          <w:b w:val="0"/>
        </w:rPr>
        <w:t>Use, adapt with the pupil, or defer with a concrete reason. Record “What I said and what it changed” in the pupil’s own words, including when nothing changes yet and why. Revisit deferred choices in the next lesson. A decorative choice alone need not be the only influence.</w:t>
      </w:r>
    </w:p>
    <w:p>
      <w:pPr>
        <w:pStyle w:val="Title"/>
        <w:pageBreakBefore/>
      </w:pPr>
      <w:r>
        <w:t>Answers and teaching checks</w:t>
      </w:r>
    </w:p>
    <w:p>
      <w:r>
        <w:rPr>
          <w:b w:val="0"/>
          <w:sz w:val="18"/>
        </w:rPr>
        <w:t>Use explanations and practical demonstrations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9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Question or test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Expected result and reason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40 versus 100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From x = 0 facing right, finishes are x = 40 and x = 100. 100 travels further; it is not a timed speed setting.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Two runs of 100 with reset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x = 100 after each run. Go-to restores x = 0 before move executes.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Core target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Move 120, with go-to x = 0 y = 0 and direction 90 unchanged. Both runs finish at x = 120. Message choice does not change the movement.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Challenge target 160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Move 160. Start and direction remain unchanged; finish at x = 160.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Challenge reset mystery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From x = 0, two runs of 100 with reset on finish at x = 100. Starting at x = 0 again with reset off, two runs finish at x = 200. Restore reset on.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Save check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A real .sb3 file loads and still contains the changed movement/message. A screenshot or HTML response download is not that project.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Correct the cause</w:t>
      </w:r>
    </w:p>
    <w:p>
      <w:r>
        <w:rPr>
          <w:b w:val="0"/>
        </w:rPr>
        <w:t>More steps means further, not automatically a speed setting.</w:t>
      </w:r>
    </w:p>
    <w:p>
      <w:r>
        <w:rPr>
          <w:b w:val="0"/>
        </w:rPr>
        <w:t>The green flag triggers attached blocks; detached blocks are outside that stack.</w:t>
      </w:r>
    </w:p>
    <w:p>
      <w:r>
        <w:rPr>
          <w:b w:val="0"/>
        </w:rPr>
        <w:t>Saving this HTML page or a screenshot does not save the Scratch project.</w:t>
      </w:r>
    </w:p>
    <w:p>
      <w:pPr>
        <w:pStyle w:val="Heading2"/>
      </w:pPr>
      <w:r>
        <w:t>When the device is unavailable</w:t>
      </w:r>
    </w:p>
    <w:p>
      <w:r>
        <w:rPr>
          <w:b w:val="0"/>
        </w:rPr>
        <w:t>Use the reference page and a token to rehearse inputs and predictions. Keep this recorded as paper rehearsal. Arrange a later device opportunity for actual code creation or modification, running, saving and reopening. Do not substitute paper for a required practical demonstration.</w:t>
      </w:r>
    </w:p>
    <w:p>
      <w:pPr>
        <w:pStyle w:val="Title"/>
        <w:pageBreakBefore/>
      </w:pPr>
      <w:r>
        <w:t>Access and individual evidence</w:t>
      </w:r>
    </w:p>
    <w:p>
      <w:r>
        <w:rPr>
          <w:b w:val="0"/>
          <w:sz w:val="18"/>
        </w:rPr>
        <w:t>Choose adaptations from observed need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Access need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Adaptation while retaining the goal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Reading or language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Read one action aloud; show its block. Offer point/say/draw responses and exact-word scribing. Teach a few relevant words in context.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Working memory or attention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Cover unused steps, use NOW/NEXT on the Step by step reference, keep the model visible and reset between tests. Reduce competing windows.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Mouse control or visual access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Increase Scratch zoom or device display scale, use the familiar input device, and allow extra manipulation time. Record physical access help separately from coding decisions.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Communication or interaction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Offer a private adult check or agreed partner. Allow AAC, pointing and extra response time. The pupil retains the prediction and decision.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Regulation or confidence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Offer a calm place, a pause with a clear return step, and a short successful test. Avoid public speed comparisons or compulsory performance.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Ready for deeper thinking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Use a changed condition, a second route or a deliberately wrong prediction. Ask for a causal explanation and a revealing test.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Individual observation</w:t>
      </w:r>
    </w:p>
    <w:p>
      <w:r>
        <w:rPr>
          <w:b w:val="0"/>
          <w:sz w:val="18"/>
        </w:rPr>
        <w:t>Pupil: __________________  Date: __________  Observer: 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328"/>
      </w:tblGrid>
      <w:tr>
        <w:trPr>
          <w:cantSplit/>
          <w:tblHeader/>
        </w:trPr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Check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Observed action and support or next step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Open the correct project.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Predict and compare a movement result.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Change the value and explain its effect.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Run twice from the known start.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Save, locate and reopen the changed project.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Support record: independent / visual cue / general prompt / precise model / physical access help / inherited code. Add what was actually done; do not infer achievement from the route label.</w:t>
      </w:r>
    </w:p>
    <w:p>
      <w:r>
        <w:rPr>
          <w:b w:val="0"/>
          <w:sz w:val="18"/>
        </w:rPr>
        <w:t>Next lesson: revisit any file-access or value-change gap with a brief supported repeat.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1 Teacher guide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color w:val="172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qa.org.uk/programmes/unit-award-scheme/unit-details?unit=716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Teacher guide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