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0"/>
        <w:tblLayout w:type="fixed"/>
        <w:tblLook w:firstColumn="1" w:firstRow="1" w:lastColumn="0" w:lastRow="0" w:noHBand="0" w:noVBand="1" w:val="04A0"/>
      </w:tblPr>
      <w:tblGrid>
        <w:gridCol w:w="8389"/>
        <w:gridCol w:w="680"/>
      </w:tblGrid>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1" name="Picture 1"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2" name="Picture 2"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3" name="Picture 3"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4" name="Picture 4"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5" name="Picture 5"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6" name="Picture 6"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7" name="Picture 7"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r>
        <w:trPr>
          <w:trHeight w:val="1701" w:hRule="atLeast"/>
          <w:cantSplit/>
        </w:trPr>
        <w:tc>
          <w:tcPr>
            <w:tcW w:type="dxa" w:w="8389"/>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spacing w:after="0" w:line="240" w:lineRule="auto"/>
            </w:pPr>
            <w:r>
              <w:rPr>
                <w:rFonts w:ascii="Arial" w:hAnsi="Arial"/>
                <w:b w:val="0"/>
                <w:color w:val="000000"/>
                <w:sz w:val="17"/>
                <w:lang w:val="en-GB" w:eastAsia="en-GB" w:bidi="en-GB"/>
              </w:rPr>
              <w:t>Science · LAUNCH · Autumn 1 · Week 08 · SCI-LAUNCH-A1-W08-L3 · Date __________</w:t>
            </w:r>
          </w:p>
          <w:p>
            <w:pPr>
              <w:spacing w:after="0" w:line="240" w:lineRule="auto"/>
            </w:pPr>
            <w:r>
              <w:rPr>
                <w:rFonts w:ascii="Arial" w:hAnsi="Arial"/>
                <w:b/>
                <w:color w:val="000000"/>
                <w:sz w:val="17"/>
                <w:lang w:val="en-GB" w:eastAsia="en-GB" w:bidi="en-GB"/>
              </w:rPr>
              <w:t>Amylase Rate, Graph and Topic 1 Consolidation</w:t>
            </w:r>
          </w:p>
          <w:p>
            <w:pPr>
              <w:spacing w:after="0" w:line="240" w:lineRule="auto"/>
            </w:pPr>
            <w:r>
              <w:rPr>
                <w:rFonts w:ascii="Arial" w:hAnsi="Arial"/>
                <w:b w:val="0"/>
                <w:color w:val="000000"/>
                <w:sz w:val="17"/>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0" w:lineRule="auto"/>
            </w:pPr>
            <w:r>
              <w:rPr>
                <w:rFonts w:ascii="Arial" w:hAnsi="Arial"/>
                <w:b w:val="0"/>
                <w:color w:val="000000"/>
                <w:sz w:val="17"/>
                <w:lang w:val="en-GB" w:eastAsia="en-GB" w:bidi="en-GB"/>
              </w:rPr>
              <w:t>Feedback: ☐ VF ☐ WS ☐ I ☐ NS ☐ E ☐ R __________________________</w:t>
            </w:r>
          </w:p>
        </w:tc>
        <w:tc>
          <w:tcPr>
            <w:tcW w:type="dxa" w:w="680"/>
            <w:vAlign w:val="center"/>
            <w:tcBorders>
              <w:top w:val="dashed" w:sz="8" w:color="697986"/>
              <w:left w:val="dashed" w:sz="8" w:color="697986"/>
              <w:bottom w:val="dashed" w:sz="8" w:color="697986"/>
              <w:right w:val="dashed" w:sz="8" w:color="697986"/>
              <w:insideH w:val="dashed" w:sz="8" w:color="697986"/>
              <w:insideV w:val="dashed" w:sz="8" w:color="697986"/>
            </w:tcBorders>
            <w:tcMar>
              <w:top w:w="25" w:type="dxa"/>
              <w:start w:w="55" w:type="dxa"/>
              <w:bottom w:w="25" w:type="dxa"/>
              <w:end w:w="40" w:type="dxa"/>
            </w:tcMar>
          </w:tcPr>
          <w:p>
            <w:pPr>
              <w:jc w:val="center"/>
            </w:pPr>
            <w:r>
              <w:drawing>
                <wp:inline xmlns:a="http://schemas.openxmlformats.org/drawingml/2006/main" xmlns:pic="http://schemas.openxmlformats.org/drawingml/2006/picture">
                  <wp:extent cx="324000" cy="324000"/>
                  <wp:docPr id="8" name="Picture 8"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bl>
    <w:p>
      <w:pPr>
        <w:spacing w:after="0"/>
      </w:pPr>
    </w:p>
    <w:p>
      <w:pPr>
        <w:sectPr>
          <w:headerReference w:type="default" r:id="rId9"/>
          <w:headerReference w:type="first" r:id="rId10"/>
          <w:footerReference w:type="default" r:id="rId11"/>
          <w:footerReference w:type="first" r:id="rId12"/>
          <w:pgSz w:w="11906" w:h="16838"/>
          <w:pgMar w:top="737" w:right="907" w:bottom="794" w:left="907" w:header="340" w:footer="340" w:gutter="0"/>
          <w:cols w:space="720"/>
          <w:titlePg/>
          <w:docGrid w:linePitch="360"/>
        </w:sectPr>
      </w:pPr>
    </w:p>
    <w:tbl>
      <w:tblPr>
        <w:tblW w:type="dxa" w:w="10091"/>
        <w:tblLayout w:type="fixed"/>
        <w:tblLook w:firstColumn="1" w:firstRow="1" w:lastColumn="0" w:lastRow="0" w:noHBand="0" w:noVBand="1" w:val="04A0"/>
      </w:tblPr>
      <w:tblGrid>
        <w:gridCol w:w="9411"/>
        <w:gridCol w:w="680"/>
      </w:tblGrid>
      <w:tr>
        <w:tc>
          <w:tcPr>
            <w:tcW w:type="dxa" w:w="9411"/>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pPr>
              <w:spacing w:after="0" w:line="247" w:lineRule="auto"/>
            </w:pPr>
            <w:r>
              <w:rPr>
                <w:rFonts w:ascii="Arial" w:hAnsi="Arial"/>
                <w:b w:val="0"/>
                <w:color w:val="000000"/>
                <w:sz w:val="22"/>
                <w:lang w:val="en-GB" w:eastAsia="en-GB" w:bidi="en-GB"/>
              </w:rPr>
              <w:t>Science · LAUNCH · Autumn 1 · Week 08 · SCI-LAUNCH-A1-W08-L3 · Date __________</w:t>
            </w:r>
          </w:p>
          <w:p>
            <w:pPr>
              <w:spacing w:after="0" w:line="247" w:lineRule="auto"/>
            </w:pPr>
            <w:r>
              <w:rPr>
                <w:rFonts w:ascii="Arial" w:hAnsi="Arial"/>
                <w:b/>
                <w:color w:val="000000"/>
                <w:sz w:val="22"/>
                <w:lang w:val="en-GB" w:eastAsia="en-GB" w:bidi="en-GB"/>
              </w:rPr>
              <w:t>Amylase Rate, Graph and Topic 1 Consolidation</w:t>
            </w:r>
          </w:p>
          <w:p>
            <w:pPr>
              <w:spacing w:after="0" w:line="247" w:lineRule="auto"/>
            </w:pPr>
            <w:r>
              <w:rPr>
                <w:rFonts w:ascii="Arial" w:hAnsi="Arial"/>
                <w:b w:val="0"/>
                <w:color w:val="000000"/>
                <w:sz w:val="22"/>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7" w:lineRule="auto"/>
            </w:pPr>
            <w:r>
              <w:rPr>
                <w:rFonts w:ascii="Arial" w:hAnsi="Arial"/>
                <w:b w:val="0"/>
                <w:color w:val="000000"/>
                <w:sz w:val="22"/>
                <w:lang w:val="en-GB" w:eastAsia="en-GB" w:bidi="en-GB"/>
              </w:rPr>
              <w:t>Feedback: ☐ VF ☐ WS ☐ I ☐ NS ☐ E ☐ R __________________________</w:t>
            </w:r>
          </w:p>
        </w:tc>
        <w:tc>
          <w:tcPr>
            <w:tcW w:type="dxa" w:w="680"/>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r>
              <w:drawing>
                <wp:inline xmlns:a="http://schemas.openxmlformats.org/drawingml/2006/main" xmlns:pic="http://schemas.openxmlformats.org/drawingml/2006/picture">
                  <wp:extent cx="324000" cy="324000"/>
                  <wp:docPr id="9" name="Picture 9"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bl>
    <w:p>
      <w:pPr>
        <w:spacing w:after="20"/>
      </w:pPr>
    </w:p>
    <w:p>
      <w:pPr>
        <w:pStyle w:val="Heading1"/>
        <w:keepNext/>
        <w:spacing w:before="160" w:after="60"/>
      </w:pPr>
      <w:r>
        <w:rPr>
          <w:rFonts w:ascii="Arial" w:hAnsi="Arial"/>
          <w:b/>
          <w:color w:val="000000"/>
          <w:sz w:val="26"/>
          <w:lang w:val="en-GB" w:eastAsia="en-GB" w:bidi="en-GB"/>
        </w:rPr>
        <w:t>Amylase Rate, Graph and Topic 1 Consolidation · Route card</w:t>
      </w:r>
    </w:p>
    <w:p>
      <w:pPr>
        <w:spacing w:after="40" w:line="257" w:lineRule="auto"/>
      </w:pPr>
      <w:r>
        <w:rPr>
          <w:rFonts w:ascii="Arial" w:hAnsi="Arial"/>
          <w:color w:val="000000"/>
          <w:sz w:val="22"/>
          <w:lang w:val="en-GB" w:eastAsia="en-GB" w:bidi="en-GB"/>
        </w:rPr>
        <w:t>Reference only · use the task and sentence stem in your book.</w:t>
      </w:r>
    </w:p>
    <w:p>
      <w:pPr>
        <w:pStyle w:val="Heading2"/>
        <w:keepNext/>
        <w:spacing w:before="100" w:after="60"/>
      </w:pPr>
      <w:r>
        <w:rPr>
          <w:rFonts w:ascii="Arial" w:hAnsi="Arial"/>
          <w:b/>
          <w:color w:val="000000"/>
          <w:sz w:val="23"/>
          <w:lang w:val="en-GB" w:eastAsia="en-GB" w:bidi="en-GB"/>
        </w:rPr>
        <w:t>Arrival · four short answers in your book</w:t>
      </w:r>
    </w:p>
    <w:p>
      <w:pPr>
        <w:spacing w:after="20" w:line="257" w:lineRule="auto"/>
        <w:ind w:left="283"/>
      </w:pPr>
      <w:r>
        <w:rPr>
          <w:rFonts w:ascii="Arial" w:hAnsi="Arial"/>
          <w:color w:val="000000"/>
          <w:sz w:val="22"/>
          <w:lang w:val="en-GB" w:eastAsia="en-GB" w:bidi="en-GB"/>
        </w:rPr>
        <w:t>1. Explain why 90 s gives a larger relative rate than 180 s under matched conditions.</w:t>
      </w:r>
    </w:p>
    <w:p>
      <w:pPr>
        <w:spacing w:after="20" w:line="257" w:lineRule="auto"/>
        <w:ind w:left="283"/>
      </w:pPr>
      <w:r>
        <w:rPr>
          <w:rFonts w:ascii="Arial" w:hAnsi="Arial"/>
          <w:color w:val="000000"/>
          <w:sz w:val="22"/>
          <w:lang w:val="en-GB" w:eastAsia="en-GB" w:bidi="en-GB"/>
        </w:rPr>
        <w:t>2. At 60 s starch is detected; at 90 s it is not. What endpoint value is used in the rate calculation?</w:t>
      </w:r>
    </w:p>
    <w:p>
      <w:pPr>
        <w:spacing w:after="20" w:line="257" w:lineRule="auto"/>
        <w:ind w:left="283"/>
      </w:pPr>
      <w:r>
        <w:rPr>
          <w:rFonts w:ascii="Arial" w:hAnsi="Arial"/>
          <w:color w:val="000000"/>
          <w:sz w:val="22"/>
          <w:lang w:val="en-GB" w:eastAsia="en-GB" w:bidi="en-GB"/>
        </w:rPr>
        <w:t>3. Calculate relative rate for an endpoint of 120 s; show the equation, substitution and unit.</w:t>
      </w:r>
    </w:p>
    <w:p>
      <w:pPr>
        <w:spacing w:after="20" w:line="257" w:lineRule="auto"/>
        <w:ind w:left="283"/>
      </w:pPr>
      <w:r>
        <w:rPr>
          <w:rFonts w:ascii="Arial" w:hAnsi="Arial"/>
          <w:color w:val="000000"/>
          <w:sz w:val="22"/>
          <w:lang w:val="en-GB" w:eastAsia="en-GB" w:bidi="en-GB"/>
        </w:rPr>
        <w:t>4. Distinguish DESCRIBE from EXPLAIN when answering about a graph.</w:t>
      </w:r>
    </w:p>
    <w:p>
      <w:pPr>
        <w:pStyle w:val="Heading2"/>
        <w:keepNext/>
        <w:spacing w:before="100" w:after="60"/>
      </w:pPr>
      <w:r>
        <w:rPr>
          <w:rFonts w:ascii="Arial" w:hAnsi="Arial"/>
          <w:b/>
          <w:color w:val="000000"/>
          <w:sz w:val="23"/>
          <w:lang w:val="en-GB" w:eastAsia="en-GB" w:bidi="en-GB"/>
        </w:rPr>
        <w:t>Starter</w:t>
      </w:r>
    </w:p>
    <w:p>
      <w:pPr>
        <w:spacing w:after="40" w:line="257" w:lineRule="auto"/>
      </w:pPr>
      <w:r>
        <w:rPr>
          <w:rFonts w:ascii="Arial" w:hAnsi="Arial"/>
          <w:color w:val="000000"/>
          <w:sz w:val="22"/>
          <w:lang w:val="en-GB" w:eastAsia="en-GB" w:bidi="en-GB"/>
        </w:rPr>
        <w:t>Matched amounts, same iodine endpoint: reaction A reaches the endpoint in 90 s; B takes 180 s. Which is faster?</w:t>
      </w:r>
    </w:p>
    <w:p>
      <w:pPr>
        <w:pStyle w:val="Heading2"/>
        <w:keepNext/>
        <w:spacing w:before="100" w:after="60"/>
      </w:pPr>
      <w:r>
        <w:rPr>
          <w:rFonts w:ascii="Arial" w:hAnsi="Arial"/>
          <w:b/>
          <w:color w:val="000000"/>
          <w:sz w:val="23"/>
          <w:lang w:val="en-GB" w:eastAsia="en-GB" w:bidi="en-GB"/>
        </w:rPr>
        <w:t>Exit ticket</w:t>
      </w:r>
    </w:p>
    <w:p>
      <w:pPr>
        <w:spacing w:after="40" w:line="257" w:lineRule="auto"/>
      </w:pPr>
      <w:r>
        <w:rPr>
          <w:rFonts w:ascii="Arial" w:hAnsi="Arial"/>
          <w:color w:val="000000"/>
          <w:sz w:val="22"/>
          <w:lang w:val="en-GB" w:eastAsia="en-GB" w:bidi="en-GB"/>
        </w:rPr>
        <w:t>Under the heading Exit ticket: answer the questions in your book.</w:t>
      </w:r>
    </w:p>
    <w:p>
      <w:pPr>
        <w:spacing w:after="20" w:line="257" w:lineRule="auto"/>
        <w:ind w:left="283"/>
      </w:pPr>
      <w:r>
        <w:rPr>
          <w:rFonts w:ascii="Arial" w:hAnsi="Arial"/>
          <w:color w:val="000000"/>
          <w:sz w:val="22"/>
          <w:lang w:val="en-GB" w:eastAsia="en-GB" w:bidi="en-GB"/>
        </w:rPr>
        <w:t>1. Calculate both first-series relative rates and use them for a bounded comparison.</w:t>
      </w:r>
    </w:p>
    <w:p>
      <w:pPr>
        <w:spacing w:after="20" w:line="257" w:lineRule="auto"/>
        <w:ind w:left="283"/>
      </w:pPr>
      <w:r>
        <w:rPr>
          <w:rFonts w:ascii="Arial" w:hAnsi="Arial"/>
          <w:color w:val="000000"/>
          <w:sz w:val="22"/>
          <w:lang w:val="en-GB" w:eastAsia="en-GB" w:bidi="en-GB"/>
        </w:rPr>
        <w:t>2. Use the repeat or sampling interval to give one limitation and a justified next investigation change.</w:t>
      </w:r>
    </w:p>
    <w:p>
      <w:pPr>
        <w:pStyle w:val="Heading2"/>
        <w:keepNext/>
        <w:spacing w:before="100" w:after="60"/>
      </w:pPr>
      <w:r>
        <w:rPr>
          <w:rFonts w:ascii="Arial" w:hAnsi="Arial"/>
          <w:b/>
          <w:color w:val="000000"/>
          <w:sz w:val="23"/>
          <w:lang w:val="en-GB" w:eastAsia="en-GB" w:bidi="en-GB"/>
        </w:rPr>
        <w:t>Independent</w:t>
      </w:r>
    </w:p>
    <w:p>
      <w:pPr>
        <w:spacing w:after="20" w:line="257" w:lineRule="auto"/>
        <w:ind w:left="283"/>
      </w:pPr>
      <w:r>
        <w:rPr>
          <w:rFonts w:ascii="Arial" w:hAnsi="Arial"/>
          <w:color w:val="000000"/>
          <w:sz w:val="22"/>
          <w:lang w:val="en-GB" w:eastAsia="en-GB" w:bidi="en-GB"/>
        </w:rPr>
        <w:t>1. Calculate relative rate for pH 6 and pH 7, showing equation, substitution and units. Check that shorter time gives a larger value. [4 marks]</w:t>
      </w:r>
    </w:p>
    <w:p>
      <w:pPr>
        <w:spacing w:after="20" w:line="257" w:lineRule="auto"/>
        <w:ind w:left="283"/>
      </w:pPr>
      <w:r>
        <w:rPr>
          <w:rFonts w:ascii="Arial" w:hAnsi="Arial"/>
          <w:color w:val="000000"/>
          <w:sz w:val="22"/>
          <w:lang w:val="en-GB" w:eastAsia="en-GB" w:bidi="en-GB"/>
        </w:rPr>
        <w:t>2. Complete the five-point graph using the two calculated rates and three supplied points. Label both axes and state the rise-and-fall pattern. [4 marks]</w:t>
      </w:r>
    </w:p>
    <w:p>
      <w:pPr>
        <w:spacing w:after="20" w:line="257" w:lineRule="auto"/>
        <w:ind w:left="283"/>
      </w:pPr>
      <w:r>
        <w:rPr>
          <w:rFonts w:ascii="Arial" w:hAnsi="Arial"/>
          <w:color w:val="000000"/>
          <w:sz w:val="22"/>
          <w:lang w:val="en-GB" w:eastAsia="en-GB" w:bidi="en-GB"/>
        </w:rPr>
        <w:t>3. Identify the highest tested activity in the first series using one numerical comparison. Explain how pH can affect the enzyme’s active site. [3 marks]</w:t>
      </w:r>
    </w:p>
    <w:p>
      <w:pPr>
        <w:spacing w:after="20" w:line="257" w:lineRule="auto"/>
        <w:ind w:left="283"/>
      </w:pPr>
      <w:r>
        <w:rPr>
          <w:rFonts w:ascii="Arial" w:hAnsi="Arial"/>
          <w:color w:val="000000"/>
          <w:sz w:val="22"/>
          <w:lang w:val="en-GB" w:eastAsia="en-GB" w:bidi="en-GB"/>
        </w:rPr>
        <w:t>4. Give one strength, one limitation and one linked improvement for the endpoint method. Use the separate pH 7 repeat of 120 s to qualify your confidence. [4 marks]</w:t>
      </w:r>
    </w:p>
    <w:p>
      <w:pPr>
        <w:spacing w:after="20" w:line="257" w:lineRule="auto"/>
        <w:ind w:left="283"/>
      </w:pPr>
      <w:r>
        <w:rPr>
          <w:rFonts w:ascii="Arial" w:hAnsi="Arial"/>
          <w:color w:val="000000"/>
          <w:sz w:val="22"/>
          <w:lang w:val="en-GB" w:eastAsia="en-GB" w:bidi="en-GB"/>
        </w:rPr>
        <w:t>5. Distinguish enzyme digestion from diffusion in the supplied two-step diagram. Explain why movement from high to low concentration does not itself break starch into sugars. [3 marks]</w:t>
      </w:r>
    </w:p>
    <w:p>
      <w:pPr>
        <w:pStyle w:val="Heading2"/>
        <w:keepNext/>
        <w:spacing w:before="100" w:after="60"/>
      </w:pPr>
      <w:r>
        <w:rPr>
          <w:rFonts w:ascii="Arial" w:hAnsi="Arial"/>
          <w:b/>
          <w:color w:val="000000"/>
          <w:sz w:val="23"/>
          <w:lang w:val="en-GB" w:eastAsia="en-GB" w:bidi="en-GB"/>
        </w:rPr>
        <w:t>Supported</w:t>
      </w:r>
    </w:p>
    <w:p>
      <w:pPr>
        <w:spacing w:after="20" w:line="257" w:lineRule="auto"/>
        <w:ind w:left="283"/>
      </w:pPr>
      <w:r>
        <w:rPr>
          <w:rFonts w:ascii="Arial" w:hAnsi="Arial"/>
          <w:color w:val="000000"/>
          <w:sz w:val="22"/>
          <w:lang w:val="en-GB" w:eastAsia="en-GB" w:bidi="en-GB"/>
        </w:rPr>
        <w:t>1. Use 1 ÷ time to calculate the pH 6 rate from 120 s and the pH 7 rate from 90 s.</w:t>
      </w:r>
    </w:p>
    <w:p>
      <w:pPr>
        <w:spacing w:after="20" w:line="257" w:lineRule="auto"/>
        <w:ind w:left="283"/>
      </w:pPr>
      <w:r>
        <w:rPr>
          <w:rFonts w:ascii="Arial" w:hAnsi="Arial"/>
          <w:color w:val="000000"/>
          <w:sz w:val="22"/>
          <w:lang w:val="en-GB" w:eastAsia="en-GB" w:bidi="en-GB"/>
        </w:rPr>
        <w:t>2. Add pH 6 and pH 7 to the supplied rate graph. Match each pH to its calculated rate; the other three points are supplied.</w:t>
      </w:r>
    </w:p>
    <w:p>
      <w:pPr>
        <w:spacing w:after="20" w:line="257" w:lineRule="auto"/>
        <w:ind w:left="283"/>
      </w:pPr>
      <w:r>
        <w:rPr>
          <w:rFonts w:ascii="Arial" w:hAnsi="Arial"/>
          <w:color w:val="000000"/>
          <w:sz w:val="22"/>
          <w:lang w:val="en-GB" w:eastAsia="en-GB" w:bidi="en-GB"/>
        </w:rPr>
        <w:t>3. Choose the highest rate in the first series. Complete “In these tested conditions, pH ___ was fastest because ___.”</w:t>
      </w:r>
    </w:p>
    <w:p>
      <w:pPr>
        <w:spacing w:after="20" w:line="257" w:lineRule="auto"/>
        <w:ind w:left="283"/>
      </w:pPr>
      <w:r>
        <w:rPr>
          <w:rFonts w:ascii="Arial" w:hAnsi="Arial"/>
          <w:color w:val="000000"/>
          <w:sz w:val="22"/>
          <w:lang w:val="en-GB" w:eastAsia="en-GB" w:bidi="en-GB"/>
        </w:rPr>
        <w:t>4. The sampling interval is 30 s. Choose a limitation and a linked improvement: uncertain exact endpoint / use a shorter fixed interval if authorised.</w:t>
      </w:r>
    </w:p>
    <w:p>
      <w:pPr>
        <w:spacing w:after="20" w:line="257" w:lineRule="auto"/>
        <w:ind w:left="283"/>
      </w:pPr>
      <w:r>
        <w:rPr>
          <w:rFonts w:ascii="Arial" w:hAnsi="Arial"/>
          <w:color w:val="000000"/>
          <w:sz w:val="22"/>
          <w:lang w:val="en-GB" w:eastAsia="en-GB" w:bidi="en-GB"/>
        </w:rPr>
        <w:t>5. The supplied diagram shows starch breaking into sugars, then particles moving from high to low concentration. Label the two changes: digestion / diffusion.</w:t>
      </w:r>
    </w:p>
    <w:p>
      <w:pPr>
        <w:pStyle w:val="Heading2"/>
        <w:keepNext/>
        <w:spacing w:before="100" w:after="60"/>
      </w:pPr>
      <w:r>
        <w:rPr>
          <w:rFonts w:ascii="Arial" w:hAnsi="Arial"/>
          <w:b/>
          <w:color w:val="000000"/>
          <w:sz w:val="23"/>
          <w:lang w:val="en-GB" w:eastAsia="en-GB" w:bidi="en-GB"/>
        </w:rPr>
        <w:t>Choice</w:t>
      </w:r>
    </w:p>
    <w:p>
      <w:pPr>
        <w:spacing w:after="20" w:line="257" w:lineRule="auto"/>
        <w:ind w:left="283"/>
      </w:pPr>
      <w:r>
        <w:rPr>
          <w:rFonts w:ascii="Arial" w:hAnsi="Arial"/>
          <w:color w:val="000000"/>
          <w:sz w:val="22"/>
          <w:lang w:val="en-GB" w:eastAsia="en-GB" w:bidi="en-GB"/>
        </w:rPr>
        <w:t xml:space="preserve">1. Match 120 s and 90 s to 0.00833 s⁻¹ and 0.0111 s⁻¹. Show 1 ÷ time for each. Add the pH 6 and pH 7 points to the supplied graph; choose its pattern: rises then falls / always rises. Record C beside your book response.</w:t>
      </w:r>
    </w:p>
    <w:p>
      <w:pPr>
        <w:spacing w:after="20" w:line="257" w:lineRule="auto"/>
        <w:ind w:left="283"/>
      </w:pPr>
      <w:r>
        <w:rPr>
          <w:rFonts w:ascii="Arial" w:hAnsi="Arial"/>
          <w:color w:val="000000"/>
          <w:sz w:val="22"/>
          <w:lang w:val="en-GB" w:eastAsia="en-GB" w:bidi="en-GB"/>
        </w:rPr>
        <w:t xml:space="preserve">2. Choose the highest first-series rate: pH 4 / pH 7 / pH 8. Give one number. Choose how pH may change activity: active-site fit / enzyme choice. Match the 30 s sampling gap to uncertain exact endpoint / exact timing; choose a shorter authorised interval / invented time as the improvement.</w:t>
      </w:r>
    </w:p>
    <w:p>
      <w:pPr>
        <w:spacing w:after="20" w:line="257" w:lineRule="auto"/>
        <w:ind w:left="283"/>
      </w:pPr>
      <w:r>
        <w:rPr>
          <w:rFonts w:ascii="Arial" w:hAnsi="Arial"/>
          <w:color w:val="000000"/>
          <w:sz w:val="22"/>
          <w:lang w:val="en-GB" w:eastAsia="en-GB" w:bidi="en-GB"/>
        </w:rPr>
        <w:t xml:space="preserve">3. The pH 7 repeat took 120 s. Choose confidence: variation needs repeats / one exact optimum is proved. Match starch breakdown / net particle movement to digestion / diffusion. Write one sentence explaining the difference.</w:t>
      </w:r>
    </w:p>
    <w:p>
      <w:pPr>
        <w:pStyle w:val="Heading2"/>
        <w:keepNext/>
        <w:spacing w:before="100" w:after="60"/>
      </w:pPr>
      <w:r>
        <w:rPr>
          <w:rFonts w:ascii="Arial" w:hAnsi="Arial"/>
          <w:b/>
          <w:color w:val="000000"/>
          <w:sz w:val="23"/>
          <w:lang w:val="en-GB" w:eastAsia="en-GB" w:bidi="en-GB"/>
        </w:rPr>
        <w:t>Aspire</w:t>
      </w:r>
    </w:p>
    <w:p>
      <w:pPr>
        <w:spacing w:after="20" w:line="257" w:lineRule="auto"/>
        <w:ind w:left="283"/>
      </w:pPr>
      <w:r>
        <w:rPr>
          <w:rFonts w:ascii="Arial" w:hAnsi="Arial"/>
          <w:color w:val="000000"/>
          <w:sz w:val="22"/>
          <w:lang w:val="en-GB" w:eastAsia="en-GB" w:bidi="en-GB"/>
        </w:rPr>
        <w:t>1. Calculate pH 6 and pH 7 relative rates. Compare the first pH 7 rate with its separate 120 s repeat, retaining both results. [4 marks]</w:t>
      </w:r>
    </w:p>
    <w:p>
      <w:pPr>
        <w:spacing w:after="20" w:line="257" w:lineRule="auto"/>
        <w:ind w:left="283"/>
      </w:pPr>
      <w:r>
        <w:rPr>
          <w:rFonts w:ascii="Arial" w:hAnsi="Arial"/>
          <w:color w:val="000000"/>
          <w:sz w:val="22"/>
          <w:lang w:val="en-GB" w:eastAsia="en-GB" w:bidi="en-GB"/>
        </w:rPr>
        <w:t>2. Complete the five-point first-series graph and place the separate repeat at the same pH 7 x-position with a distinct symbol. Explain why it is not pH 9 or a silently replaced point. [4 marks]</w:t>
      </w:r>
    </w:p>
    <w:p>
      <w:pPr>
        <w:spacing w:after="20" w:line="257" w:lineRule="auto"/>
        <w:ind w:left="283"/>
      </w:pPr>
      <w:r>
        <w:rPr>
          <w:rFonts w:ascii="Arial" w:hAnsi="Arial"/>
          <w:color w:val="000000"/>
          <w:sz w:val="22"/>
          <w:lang w:val="en-GB" w:eastAsia="en-GB" w:bidi="en-GB"/>
        </w:rPr>
        <w:t>3. Evaluate “pH 7 is the exact optimum for every amylase”. Use the tested range, the repeat and the difference between data and a molecular explanation. [4 marks]</w:t>
      </w:r>
    </w:p>
    <w:p>
      <w:pPr>
        <w:spacing w:after="20" w:line="257" w:lineRule="auto"/>
        <w:ind w:left="283"/>
      </w:pPr>
      <w:r>
        <w:rPr>
          <w:rFonts w:ascii="Arial" w:hAnsi="Arial"/>
          <w:color w:val="000000"/>
          <w:sz w:val="22"/>
          <w:lang w:val="en-GB" w:eastAsia="en-GB" w:bidi="en-GB"/>
        </w:rPr>
        <w:t>4. Give a strength–limitation–improvement chain. Explain which uncertainty a shorter authorised sampling interval reduces and which it leaves. [4 marks]</w:t>
      </w:r>
    </w:p>
    <w:p>
      <w:pPr>
        <w:spacing w:after="20" w:line="257" w:lineRule="auto"/>
        <w:ind w:left="283"/>
      </w:pPr>
      <w:r>
        <w:rPr>
          <w:rFonts w:ascii="Arial" w:hAnsi="Arial"/>
          <w:color w:val="000000"/>
          <w:sz w:val="22"/>
          <w:lang w:val="en-GB" w:eastAsia="en-GB" w:bidi="en-GB"/>
        </w:rPr>
        <w:t>5. Explain why “diffusion digests starch” confuses two processes. Use the supplied definitions, and state why an enzyme-rate graph alone cannot show how sugars cross a gut membrane. [4 marks]</w:t>
      </w:r>
    </w:p>
    <w:p>
      <w:pPr>
        <w:spacing w:after="40" w:line="257" w:lineRule="auto"/>
      </w:pPr>
      <w:r>
        <w:rPr>
          <w:rFonts w:ascii="Arial" w:hAnsi="Arial"/>
          <w:color w:val="000000"/>
          <w:sz w:val="22"/>
          <w:lang w:val="en-GB" w:eastAsia="en-GB" w:bidi="en-GB"/>
        </w:rPr>
        <w:t>Staff mark I, S or C beside this task.</w:t>
      </w:r>
    </w:p>
    <w:p>
      <w:pPr>
        <w:sectPr>
          <w:headerReference w:type="default" r:id="rId14"/>
          <w:headerReference w:type="first" r:id="rId15"/>
          <w:footerReference w:type="default" r:id="rId16"/>
          <w:footerReference w:type="first" r:id="rId17"/>
          <w:pgSz w:w="11906" w:h="16838"/>
          <w:pgMar w:top="737" w:right="907" w:bottom="794" w:left="907" w:header="340" w:footer="340" w:gutter="0"/>
          <w:cols w:space="720"/>
          <w:titlePg/>
          <w:docGrid w:linePitch="360"/>
        </w:sectPr>
      </w:pPr>
    </w:p>
    <w:tbl>
      <w:tblPr>
        <w:tblW w:type="dxa" w:w="10091"/>
        <w:tblLayout w:type="fixed"/>
        <w:tblLook w:firstColumn="1" w:firstRow="1" w:lastColumn="0" w:lastRow="0" w:noHBand="0" w:noVBand="1" w:val="04A0"/>
      </w:tblPr>
      <w:tblGrid>
        <w:gridCol w:w="9411"/>
        <w:gridCol w:w="680"/>
      </w:tblGrid>
      <w:tr>
        <w:tc>
          <w:tcPr>
            <w:tcW w:type="dxa" w:w="9411"/>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pPr>
              <w:spacing w:after="0" w:line="247" w:lineRule="auto"/>
            </w:pPr>
            <w:r>
              <w:rPr>
                <w:rFonts w:ascii="Arial" w:hAnsi="Arial"/>
                <w:b w:val="0"/>
                <w:color w:val="000000"/>
                <w:sz w:val="19"/>
                <w:lang w:val="en-GB" w:eastAsia="en-GB" w:bidi="en-GB"/>
              </w:rPr>
              <w:t>Science · LAUNCH · Autumn 1 · Week 08 · SCI-LAUNCH-A1-W08-L3 · Date __________</w:t>
            </w:r>
          </w:p>
          <w:p>
            <w:pPr>
              <w:spacing w:after="0" w:line="247" w:lineRule="auto"/>
            </w:pPr>
            <w:r>
              <w:rPr>
                <w:rFonts w:ascii="Arial" w:hAnsi="Arial"/>
                <w:b/>
                <w:color w:val="000000"/>
                <w:sz w:val="19"/>
                <w:lang w:val="en-GB" w:eastAsia="en-GB" w:bidi="en-GB"/>
              </w:rPr>
              <w:t>Amylase Rate, Graph and Topic 1 Consolidation</w:t>
            </w:r>
          </w:p>
          <w:p>
            <w:pPr>
              <w:spacing w:after="0" w:line="247" w:lineRule="auto"/>
            </w:pPr>
            <w:r>
              <w:rPr>
                <w:rFonts w:ascii="Arial" w:hAnsi="Arial"/>
                <w:b w:val="0"/>
                <w:color w:val="000000"/>
                <w:sz w:val="19"/>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7" w:lineRule="auto"/>
            </w:pPr>
            <w:r>
              <w:rPr>
                <w:rFonts w:ascii="Arial" w:hAnsi="Arial"/>
                <w:b w:val="0"/>
                <w:color w:val="000000"/>
                <w:sz w:val="19"/>
                <w:lang w:val="en-GB" w:eastAsia="en-GB" w:bidi="en-GB"/>
              </w:rPr>
              <w:t>Feedback: ☐ VF ☐ WS ☐ I ☐ NS ☐ E ☐ R __________________________</w:t>
            </w:r>
          </w:p>
        </w:tc>
        <w:tc>
          <w:tcPr>
            <w:tcW w:type="dxa" w:w="680"/>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r>
              <w:drawing>
                <wp:inline xmlns:a="http://schemas.openxmlformats.org/drawingml/2006/main" xmlns:pic="http://schemas.openxmlformats.org/drawingml/2006/picture">
                  <wp:extent cx="324000" cy="324000"/>
                  <wp:docPr id="10" name="Picture 10"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bl>
    <w:p>
      <w:pPr>
        <w:spacing w:after="20"/>
      </w:pPr>
    </w:p>
    <w:p>
      <w:pPr>
        <w:spacing w:after="40" w:line="257" w:lineRule="auto"/>
      </w:pPr>
      <w:r>
        <w:rPr>
          <w:rFonts w:ascii="Arial" w:hAnsi="Arial"/>
          <w:color w:val="000000"/>
          <w:sz w:val="19"/>
          <w:lang w:val="en-GB" w:eastAsia="en-GB" w:bidi="en-GB"/>
        </w:rPr>
        <w:t>LAUNCH · GCSE Biology · Amylase Rate, Graph and Topic 1 Consolidation</w:t>
      </w:r>
    </w:p>
    <w:p>
      <w:r>
        <w:drawing>
          <wp:inline xmlns:a="http://schemas.openxmlformats.org/drawingml/2006/main" xmlns:pic="http://schemas.openxmlformats.org/drawingml/2006/picture">
            <wp:extent cx="3960000" cy="5599194"/>
            <wp:docPr id="11" name="Picture 11" descr="Science diagram: LAUNCH last lesson Knowledge Organiser ... LAUNCH SCIENCE | last lesson | Enzyme rates and evidence Knowledge organiser Learning objective I can calculate and graph relative amylase rates, judge what the evidence supports, and use enzyme and transport ideas in an exam-style explanation. Success criteria 1. Show relative-rate working using 1 ÷ time with the unit s⁻¹. 2. Read or plot the pH–rate pattern and limit the conclusion to the evidence. 3. Link a method limitation to an improvement, then distinguish digestion from diffusion. 0.000 0.002 0.004 0.006 0.008 0.010 0.012 4 5 6 7 8 pH (no unit) Relative rate = 1 / time (s⁻¹) Calculate a reciprocal Relative rate = 1/time. For 120 s: 1/120 = 0.00833 s⁻¹. For 90 s: 1/90 = 0.0111 s⁻¹. A shorter endpoint time gives a larger reciprocal, for matched amounts and the same stopping rule. Describe then qualify These illustrative first-series points rise from pH 4 to 7 and fall at pH 8. pH 7 is highest among the values tested here. A separate pH 7 repeat gives 120 s (0.00833 s⁻¹); it shows variation, not a new pH value. Explain and evaluate pH can alter substrate binding and catalysis. The graph does not directly show active-site shape or prove permanent denaturation. Matched conditions support comparison; 30 s sampling limits precision. A shorter feasible authorised interval narrows that timing window. Transfer the science Enzyme digestion chemically breaks large molecules into smaller ones. Diffusion is net particle movement from higher to lower concentration. Diffusion does not itself chemically break starch into sugars. Made by Matt | Use the reference to explain, calculate and evaluat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960000" cy="5599194"/>
                    </a:xfrm>
                    <a:prstGeom prst="rect"/>
                  </pic:spPr>
                </pic:pic>
              </a:graphicData>
            </a:graphic>
          </wp:inline>
        </w:drawing>
      </w:r>
    </w:p>
    <w:p>
      <w:pPr>
        <w:pStyle w:val="Heading1"/>
        <w:keepNext/>
        <w:spacing w:before="160" w:after="60"/>
      </w:pPr>
      <w:r>
        <w:rPr>
          <w:rFonts w:ascii="Arial" w:hAnsi="Arial"/>
          <w:b/>
          <w:color w:val="000000"/>
          <w:sz w:val="24"/>
          <w:lang w:val="en-GB" w:eastAsia="en-GB" w:bidi="en-GB"/>
        </w:rPr>
        <w:t>Practical reference data and models</w:t>
      </w:r>
    </w:p>
    <w:p>
      <w:pPr>
        <w:spacing w:after="40" w:line="257" w:lineRule="auto"/>
      </w:pPr>
      <w:r>
        <w:rPr>
          <w:rFonts w:ascii="Arial" w:hAnsi="Arial"/>
          <w:color w:val="000000"/>
          <w:sz w:val="19"/>
          <w:lang w:val="en-GB" w:eastAsia="en-GB" w:bidi="en-GB"/>
        </w:rPr>
        <w:t>LAUNCH · GCSE Biology · Amylase Rate, Graph and Topic 1 Consolidation</w:t>
      </w:r>
    </w:p>
    <w:p>
      <w:pPr>
        <w:spacing w:after="40" w:line="257" w:lineRule="auto"/>
      </w:pPr>
      <w:r>
        <w:rPr>
          <w:rFonts w:ascii="Arial" w:hAnsi="Arial"/>
          <w:color w:val="000000"/>
          <w:sz w:val="19"/>
          <w:lang w:val="en-GB" w:eastAsia="en-GB" w:bidi="en-GB"/>
        </w:rPr>
        <w:t>Enzyme: biological catalyst; speeds a reaction without being used up. Substrate: substance it acts on. pH: a measure of acidity or alkalinity. Amylase acts on starch, producing smaller sugars.</w:t>
      </w:r>
    </w:p>
    <w:tbl>
      <w:tblPr>
        <w:tblW w:type="dxa" w:w="10091"/>
        <w:tblLayout w:type="fixed"/>
        <w:tblLook w:firstColumn="1" w:firstRow="1" w:lastColumn="0" w:lastRow="0" w:noHBand="0" w:noVBand="1" w:val="04A0"/>
      </w:tblPr>
      <w:tblGrid>
        <w:gridCol w:w="3364"/>
        <w:gridCol w:w="3364"/>
        <w:gridCol w:w="3364"/>
      </w:tblGrid>
      <w:tr>
        <w:trPr>
          <w:cantSplit/>
          <w:tblHeader w:val="true"/>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color w:val="000000"/>
                <w:sz w:val="19"/>
                <w:lang w:val="en-GB" w:eastAsia="en-GB" w:bidi="en-GB"/>
              </w:rPr>
              <w:t>pH</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color w:val="000000"/>
                <w:sz w:val="19"/>
                <w:lang w:val="en-GB" w:eastAsia="en-GB" w:bidi="en-GB"/>
              </w:rPr>
              <w:t>Endpoint / s</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color w:val="000000"/>
                <w:sz w:val="19"/>
                <w:lang w:val="en-GB" w:eastAsia="en-GB" w:bidi="en-GB"/>
              </w:rPr>
              <w:t>Relative rate / s⁻¹</w:t>
            </w:r>
          </w:p>
        </w:tc>
      </w:tr>
      <w:tr>
        <w:trPr>
          <w:cantSplit/>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4</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240</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0.00417</w:t>
            </w:r>
          </w:p>
        </w:tc>
      </w:tr>
      <w:tr>
        <w:trPr>
          <w:cantSplit/>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5</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180</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0.00556</w:t>
            </w:r>
          </w:p>
        </w:tc>
      </w:tr>
      <w:tr>
        <w:trPr>
          <w:cantSplit/>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6</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120</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0.00833</w:t>
            </w:r>
          </w:p>
        </w:tc>
      </w:tr>
      <w:tr>
        <w:trPr>
          <w:cantSplit/>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7</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90</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0.0111</w:t>
            </w:r>
          </w:p>
        </w:tc>
      </w:tr>
      <w:tr>
        <w:trPr>
          <w:cantSplit/>
        </w:trPr>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8</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150</w:t>
            </w:r>
          </w:p>
        </w:tc>
        <w:tc>
          <w:tcPr>
            <w:tcW w:type="dxa" w:w="3364"/>
            <w:vAlign w:val="center"/>
            <w:tcBorders>
              <w:top w:val="single" w:sz="6" w:color="D9D9D9"/>
              <w:left w:val="single" w:sz="6" w:color="D9D9D9"/>
              <w:bottom w:val="single" w:sz="6" w:color="D9D9D9"/>
              <w:right w:val="single" w:sz="6" w:color="D9D9D9"/>
              <w:insideH w:val="single" w:sz="6" w:color="D9D9D9"/>
              <w:insideV w:val="single" w:sz="6" w:color="D9D9D9"/>
            </w:tcBorders>
            <w:tcMar>
              <w:top w:w="60" w:type="dxa"/>
              <w:start w:w="70" w:type="dxa"/>
              <w:bottom w:w="60" w:type="dxa"/>
              <w:end w:w="70" w:type="dxa"/>
            </w:tcMar>
          </w:tcPr>
          <w:p>
            <w:pPr>
              <w:spacing w:after="0" w:line="252" w:lineRule="auto"/>
            </w:pPr>
            <w:r>
              <w:rPr>
                <w:rFonts w:ascii="Arial" w:hAnsi="Arial"/>
                <w:b w:val="0"/>
                <w:color w:val="000000"/>
                <w:sz w:val="19"/>
                <w:lang w:val="en-GB" w:eastAsia="en-GB" w:bidi="en-GB"/>
              </w:rPr>
              <w:t>0.00667</w:t>
            </w:r>
          </w:p>
        </w:tc>
      </w:tr>
    </w:tbl>
    <w:p>
      <w:pPr>
        <w:spacing w:after="20"/>
      </w:pPr>
    </w:p>
    <w:p>
      <w:pPr>
        <w:spacing w:after="40" w:line="257" w:lineRule="auto"/>
      </w:pPr>
      <w:r>
        <w:rPr>
          <w:rFonts w:ascii="Arial" w:hAnsi="Arial"/>
          <w:color w:val="000000"/>
          <w:sz w:val="19"/>
          <w:lang w:val="en-GB" w:eastAsia="en-GB" w:bidi="en-GB"/>
        </w:rPr>
        <w:t>Supplied illustrative observations — not your practical results. Single runs; equal starting amounts and the same iodine endpoint. Samples every 30 s. pH 7: blue-black at 30/60 s, orange-brown at 90 s. Record 90 s.</w:t>
      </w:r>
    </w:p>
    <w:p>
      <w:r>
        <w:drawing>
          <wp:inline xmlns:a="http://schemas.openxmlformats.org/drawingml/2006/main" xmlns:pic="http://schemas.openxmlformats.org/drawingml/2006/picture">
            <wp:extent cx="3960000" cy="2242059"/>
            <wp:docPr id="12" name="Picture 12" descr="Relative rate against pH for five illustrative single-trial endpoint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960000" cy="2242059"/>
                    </a:xfrm>
                    <a:prstGeom prst="rect"/>
                  </pic:spPr>
                </pic:pic>
              </a:graphicData>
            </a:graphic>
          </wp:inline>
        </w:drawing>
      </w:r>
    </w:p>
    <w:p>
      <w:r>
        <w:drawing>
          <wp:inline xmlns:a="http://schemas.openxmlformats.org/drawingml/2006/main" xmlns:pic="http://schemas.openxmlformats.org/drawingml/2006/picture">
            <wp:extent cx="3960000" cy="1127077"/>
            <wp:docPr id="13" name="Picture 13" descr="Two different processes: starch chain splits into sugars by digestion; particles move from high to low concentration by diffusion"/>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960000" cy="1127077"/>
                    </a:xfrm>
                    <a:prstGeom prst="rect"/>
                  </pic:spPr>
                </pic:pic>
              </a:graphicData>
            </a:graphic>
          </wp:inline>
        </w:drawing>
      </w:r>
    </w:p>
    <w:p>
      <w:pPr>
        <w:spacing w:after="40" w:line="257" w:lineRule="auto"/>
      </w:pPr>
      <w:r>
        <w:rPr>
          <w:rFonts w:ascii="Arial" w:hAnsi="Arial"/>
          <w:color w:val="000000"/>
          <w:sz w:val="19"/>
          <w:lang w:val="en-GB" w:eastAsia="en-GB" w:bidi="en-GB"/>
        </w:rPr>
        <w:t>Complete the reference graph: pH 4, 5 and 8 are shown; add pH 6 and pH 7. Aspire: add the separate repeat with a distinct symbol.</w:t>
      </w:r>
    </w:p>
    <w:p>
      <w:pPr>
        <w:spacing w:after="40" w:line="257" w:lineRule="auto"/>
      </w:pPr>
      <w:r>
        <w:rPr>
          <w:rFonts w:ascii="Arial" w:hAnsi="Arial"/>
          <w:color w:val="000000"/>
          <w:sz w:val="19"/>
          <w:lang w:val="en-GB" w:eastAsia="en-GB" w:bidi="en-GB"/>
        </w:rPr>
        <w:t>Rate: 1 ÷ endpoint time. At pH 7: 1 ÷ 90 = 0.0111 s⁻¹ (3 significant figures). These are single-run rates, not means. Highest among tested: pH 7; exact optimum is not established. The extra pH 7 repeat (120 s) is a separate trial, not silently averaged.</w:t>
      </w:r>
    </w:p>
    <w:p>
      <w:pPr>
        <w:spacing w:after="40" w:line="257" w:lineRule="auto"/>
      </w:pPr>
      <w:r>
        <w:rPr>
          <w:rFonts w:ascii="Arial" w:hAnsi="Arial"/>
          <w:color w:val="000000"/>
          <w:sz w:val="19"/>
          <w:lang w:val="en-GB" w:eastAsia="en-GB" w:bidi="en-GB"/>
        </w:rPr>
        <w:t>Topic 1 transfer: digestion breaks large molecules into smaller molecules. Diffusion is net particle movement from higher to lower concentration; it does not break a starch molecule apart. Enzymes are catalysts, not living organisms. pH changes can alter activity; slower timing alone does not prove permanent denaturation.</w:t>
      </w:r>
    </w:p>
    <w:p>
      <w:pPr>
        <w:spacing w:after="40" w:line="257" w:lineRule="auto"/>
      </w:pPr>
      <w:r>
        <w:rPr>
          <w:rFonts w:ascii="Arial" w:hAnsi="Arial"/>
          <w:color w:val="000000"/>
          <w:sz w:val="19"/>
          <w:lang w:val="en-GB" w:eastAsia="en-GB" w:bidi="en-GB"/>
        </w:rPr>
        <w:t>Describe = give a pattern; explain = link cause and effect; evaluate = use evidence and limits. An unobserved endpoint by 300 s establishes no exact reciprocal rate.</w:t>
      </w:r>
    </w:p>
    <w:p>
      <w:pPr>
        <w:sectPr>
          <w:headerReference w:type="default" r:id="rId18"/>
          <w:headerReference w:type="first" r:id="rId19"/>
          <w:footerReference w:type="default" r:id="rId20"/>
          <w:footerReference w:type="first" r:id="rId21"/>
          <w:pgSz w:w="11906" w:h="16838"/>
          <w:pgMar w:top="737" w:right="907" w:bottom="794" w:left="907" w:header="340" w:footer="340" w:gutter="0"/>
          <w:cols w:space="720"/>
          <w:titlePg/>
          <w:docGrid w:linePitch="360"/>
        </w:sectPr>
      </w:pPr>
    </w:p>
    <w:tbl>
      <w:tblPr>
        <w:tblW w:type="dxa" w:w="10091"/>
        <w:tblLayout w:type="fixed"/>
        <w:tblLook w:firstColumn="1" w:firstRow="1" w:lastColumn="0" w:lastRow="0" w:noHBand="0" w:noVBand="1" w:val="04A0"/>
      </w:tblPr>
      <w:tblGrid>
        <w:gridCol w:w="9411"/>
        <w:gridCol w:w="680"/>
      </w:tblGrid>
      <w:tr>
        <w:tc>
          <w:tcPr>
            <w:tcW w:type="dxa" w:w="9411"/>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pPr>
              <w:spacing w:after="0" w:line="247" w:lineRule="auto"/>
            </w:pPr>
            <w:r>
              <w:rPr>
                <w:rFonts w:ascii="Arial" w:hAnsi="Arial"/>
                <w:b w:val="0"/>
                <w:color w:val="000000"/>
                <w:sz w:val="22"/>
                <w:lang w:val="en-GB" w:eastAsia="en-GB" w:bidi="en-GB"/>
              </w:rPr>
              <w:t>Science · LAUNCH · Autumn 1 · Week 08 · SCI-LAUNCH-A1-W08-L3 · Date __________</w:t>
            </w:r>
          </w:p>
          <w:p>
            <w:pPr>
              <w:spacing w:after="0" w:line="247" w:lineRule="auto"/>
            </w:pPr>
            <w:r>
              <w:rPr>
                <w:rFonts w:ascii="Arial" w:hAnsi="Arial"/>
                <w:b/>
                <w:color w:val="000000"/>
                <w:sz w:val="22"/>
                <w:lang w:val="en-GB" w:eastAsia="en-GB" w:bidi="en-GB"/>
              </w:rPr>
              <w:t>Amylase Rate, Graph and Topic 1 Consolidation</w:t>
            </w:r>
          </w:p>
          <w:p>
            <w:pPr>
              <w:spacing w:after="0" w:line="247" w:lineRule="auto"/>
            </w:pPr>
            <w:r>
              <w:rPr>
                <w:rFonts w:ascii="Arial" w:hAnsi="Arial"/>
                <w:b w:val="0"/>
                <w:color w:val="000000"/>
                <w:sz w:val="22"/>
                <w:lang w:val="en-GB" w:eastAsia="en-GB" w:bidi="en-GB"/>
              </w:rPr>
              <w:t>Today I can… ☐ Show relative-rate working using 1 ÷ time with the unit s⁻¹ ☐ Read or plot the pH–rate pattern and limit the conclusion to the evidence ☐ Link a method limitation to an improvement, then distinguish digestion from diffusion</w:t>
            </w:r>
          </w:p>
          <w:p>
            <w:pPr>
              <w:spacing w:after="0" w:line="247" w:lineRule="auto"/>
            </w:pPr>
            <w:r>
              <w:rPr>
                <w:rFonts w:ascii="Arial" w:hAnsi="Arial"/>
                <w:b w:val="0"/>
                <w:color w:val="000000"/>
                <w:sz w:val="22"/>
                <w:lang w:val="en-GB" w:eastAsia="en-GB" w:bidi="en-GB"/>
              </w:rPr>
              <w:t>Feedback: ☐ VF ☐ WS ☐ I ☐ NS ☐ E ☐ R __________________________</w:t>
            </w:r>
          </w:p>
        </w:tc>
        <w:tc>
          <w:tcPr>
            <w:tcW w:type="dxa" w:w="680"/>
            <w:vAlign w:val="center"/>
            <w:tcBorders>
              <w:top w:val="single" w:sz="5" w:color="B9C3CC"/>
              <w:left w:val="single" w:sz="5" w:color="B9C3CC"/>
              <w:bottom w:val="single" w:sz="5" w:color="B9C3CC"/>
              <w:right w:val="single" w:sz="5" w:color="B9C3CC"/>
              <w:insideH w:val="single" w:sz="5" w:color="B9C3CC"/>
              <w:insideV w:val="single" w:sz="5" w:color="B9C3CC"/>
            </w:tcBorders>
            <w:tcMar>
              <w:top w:w="50" w:type="dxa"/>
              <w:start w:w="70" w:type="dxa"/>
              <w:bottom w:w="50" w:type="dxa"/>
              <w:end w:w="70" w:type="dxa"/>
            </w:tcMar>
          </w:tcPr>
          <w:p>
            <w:r>
              <w:drawing>
                <wp:inline xmlns:a="http://schemas.openxmlformats.org/drawingml/2006/main" xmlns:pic="http://schemas.openxmlformats.org/drawingml/2006/picture">
                  <wp:extent cx="324000" cy="324000"/>
                  <wp:docPr id="14" name="Picture 14" descr="Made by Matt"/>
                  <wp:cNvGraphicFramePr>
                    <a:graphicFrameLocks noChangeAspect="1"/>
                  </wp:cNvGraphicFramePr>
                  <a:graphic>
                    <a:graphicData uri="http://schemas.openxmlformats.org/drawingml/2006/picture">
                      <pic:pic>
                        <pic:nvPicPr>
                          <pic:cNvPr id="0" name="approved-mark.jpg"/>
                          <pic:cNvPicPr/>
                        </pic:nvPicPr>
                        <pic:blipFill>
                          <a:blip r:embed="rId13"/>
                          <a:stretch>
                            <a:fillRect/>
                          </a:stretch>
                        </pic:blipFill>
                        <pic:spPr>
                          <a:xfrm>
                            <a:off x="0" y="0"/>
                            <a:ext cx="324000" cy="324000"/>
                          </a:xfrm>
                          <a:prstGeom prst="rect"/>
                        </pic:spPr>
                      </pic:pic>
                    </a:graphicData>
                  </a:graphic>
                </wp:inline>
              </w:drawing>
            </w:r>
          </w:p>
        </w:tc>
      </w:tr>
    </w:tbl>
    <w:p>
      <w:pPr>
        <w:spacing w:after="20"/>
      </w:pPr>
    </w:p>
    <w:p>
      <w:pPr>
        <w:pStyle w:val="Heading1"/>
        <w:keepNext/>
        <w:spacing w:before="160" w:after="60"/>
      </w:pPr>
      <w:r>
        <w:rPr>
          <w:rFonts w:ascii="Arial" w:hAnsi="Arial"/>
          <w:b/>
          <w:color w:val="000000"/>
          <w:sz w:val="26"/>
          <w:lang w:val="en-GB" w:eastAsia="en-GB" w:bidi="en-GB"/>
        </w:rPr>
        <w:t>Staff: cut these apart before the lesson.</w:t>
      </w:r>
    </w:p>
    <w:p>
      <w:pPr>
        <w:spacing w:after="40" w:line="257" w:lineRule="auto"/>
      </w:pPr>
      <w:r>
        <w:rPr>
          <w:rFonts w:ascii="Arial" w:hAnsi="Arial"/>
          <w:color w:val="000000"/>
          <w:sz w:val="22"/>
          <w:lang w:val="en-GB" w:eastAsia="en-GB" w:bidi="en-GB"/>
        </w:rPr>
        <w:t>Move these pieces for the task. Record the answer and reason in your book.</w:t>
      </w:r>
    </w:p>
    <w:tbl>
      <w:tblPr>
        <w:tblW w:type="dxa" w:w="9298"/>
        <w:jc w:val="center"/>
        <w:tblLayout w:type="fixed"/>
        <w:tblLook w:firstColumn="1" w:firstRow="1" w:lastColumn="0" w:lastRow="0" w:noHBand="0" w:noVBand="1" w:val="04A0"/>
      </w:tblPr>
      <w:tblGrid>
        <w:gridCol w:w="4649"/>
        <w:gridCol w:w="4649"/>
      </w:tblGrid>
      <w:tr>
        <w:trPr>
          <w:cantSplit/>
          <w:trHeight w:val="2212" w:hRule="atLeast"/>
        </w:trPr>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Reciprocal value: Endpoint 120 s gives 1/120 = 0.00833 s⁻¹.</w:t>
            </w:r>
          </w:p>
        </w:tc>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Direction check: The shortest time should correspond to the largest reciprocal rate.</w:t>
            </w:r>
          </w:p>
        </w:tc>
      </w:tr>
      <w:tr>
        <w:trPr>
          <w:cantSplit/>
          <w:trHeight w:val="2212" w:hRule="atLeast"/>
        </w:trPr>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Highest tested rate: The largest first-series relative rate occurs at pH 7 among pH 4–8 tested here.</w:t>
            </w:r>
          </w:p>
        </w:tc>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Rise then fall: First-series relative rate rises from pH 4 to pH 7, then falls at pH 8.</w:t>
            </w:r>
          </w:p>
        </w:tc>
      </w:tr>
      <w:tr>
        <w:trPr>
          <w:cantSplit/>
          <w:trHeight w:val="2212" w:hRule="atLeast"/>
        </w:trPr>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Subjective endpoint: Different observers may judge a borderline iodine colour differently.</w:t>
            </w:r>
          </w:p>
        </w:tc>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Shorter interval: A shorter fixed sampling interval could narrow the endpoint-time window if the authorised method allows it.</w:t>
            </w:r>
          </w:p>
        </w:tc>
      </w:tr>
      <w:tr>
        <w:trPr>
          <w:cantSplit/>
          <w:trHeight w:val="2212" w:hRule="atLeast"/>
        </w:trPr>
        <w:tc>
          <w:tcPr>
            <w:tcW w:type="dxa" w:w="4649"/>
            <w:vAlign w:val="center"/>
            <w:tcBorders>
              <w:top w:val="dashed" w:sz="6" w:color="697986"/>
              <w:left w:val="dashed" w:sz="6" w:color="697986"/>
              <w:bottom w:val="dashed" w:sz="6" w:color="697986"/>
              <w:right w:val="dashed" w:sz="6" w:color="697986"/>
              <w:insideH w:val="dashed" w:sz="6" w:color="697986"/>
              <w:insideV w:val="dashed" w:sz="6" w:color="697986"/>
            </w:tcBorders>
            <w:tcMar>
              <w:top w:w="80" w:type="dxa"/>
              <w:start w:w="80" w:type="dxa"/>
              <w:bottom w:w="80" w:type="dxa"/>
              <w:end w:w="80" w:type="dxa"/>
            </w:tcMar>
          </w:tcPr>
          <w:p>
            <w:pPr>
              <w:spacing w:after="0" w:line="240" w:lineRule="auto" w:before="0"/>
              <w:jc w:val="center"/>
            </w:pPr>
            <w:r>
              <w:rPr>
                <w:rFonts w:ascii="Arial" w:hAnsi="Arial"/>
                <w:b w:val="0"/>
                <w:color w:val="000000"/>
                <w:sz w:val="22"/>
                <w:lang w:val="en-GB" w:eastAsia="en-GB" w:bidi="en-GB"/>
              </w:rPr>
              <w:t>Preserve anomaly: One repeat is far from the others; keep it visible, check the method and justify any treatment.</w:t>
            </w:r>
          </w:p>
        </w:tc>
        <w:tc>
          <w:tcPr>
            <w:tcW w:type="dxa" w:w="5046"/>
            <w:vAlign w:val="center"/>
            <w:tcMar>
              <w:top w:w="80" w:type="dxa"/>
              <w:start w:w="80" w:type="dxa"/>
              <w:bottom w:w="80" w:type="dxa"/>
              <w:end w:w="80" w:type="dxa"/>
            </w:tcMar>
          </w:tcPr>
          <w:p>
            <w:pPr>
              <w:spacing w:after="0" w:before="0" w:line="240" w:lineRule="auto"/>
              <w:jc w:val="center"/>
            </w:pPr>
          </w:p>
        </w:tc>
      </w:tr>
    </w:tbl>
    <w:p>
      <w:pPr>
        <w:spacing w:after="0" w:before="0" w:line="20" w:lineRule="exact"/>
      </w:pPr>
      <w:r>
        <w:rPr>
          <w:sz w:val="2"/>
          <w:lang w:val="en-GB"/>
        </w:rPr>
      </w:r>
    </w:p>
    <w:sectPr w:rsidR="00FC693F" w:rsidRPr="0006063C" w:rsidSect="00034616">
      <w:headerReference w:type="default" r:id="rId25"/>
      <w:headerReference w:type="first" r:id="rId26"/>
      <w:footerReference w:type="default" r:id="rId27"/>
      <w:footerReference w:type="first" r:id="rId28"/>
      <w:pgSz w:w="11906" w:h="16838"/>
      <w:pgMar w:top="737" w:right="907" w:bottom="794" w:left="907"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000000"/>
        <w:sz w:val="14"/>
        <w:lang w:val="en-GB" w:eastAsia="en-GB" w:bidi="en-GB"/>
      </w:rPr>
      <w:t>Made by Matt · madebymatt.uk · © Matt Roper · CC BY-NC-SA 4.0: free for classroom use, share and adapt with credit, no resale · v10 · 26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sz w:val="16"/>
        <w:lang w:val="en-GB" w:eastAsia="en-GB" w:bidi="en-GB"/>
      </w:rPr>
      <w:t>Science · LAUNCH · Autumn 1 · Week 08 · SCI-LAUNCH-A1-W08-L3 · Date __________</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sz w:val="16"/>
        <w:lang w:val="en-GB" w:eastAsia="en-GB" w:bidi="en-GB"/>
      </w:rPr>
      <w:t>Science · LAUNCH · Autumn 1 · Week 08 · SCI-LAUNCH-A1-W08-L3 · Date __________</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sz w:val="16"/>
        <w:lang w:val="en-GB" w:eastAsia="en-GB" w:bidi="en-GB"/>
      </w:rPr>
      <w:t>Science · LAUNCH · Autumn 1 · Week 08 · SCI-LAUNCH-A1-W08-L3 · Date __________</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sz w:val="16"/>
        <w:lang w:val="en-GB" w:eastAsia="en-GB" w:bidi="en-GB"/>
      </w:rPr>
      <w:t>Science · LAUNCH · Autumn 1 · Week 08 · SCI-LAUNCH-A1-W08-L3 · Date __________</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lang w:val="en-GB" w:eastAsia="en-GB" w:bidi="en-GB"/>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lang w:val="en-GB" w:eastAsia="en-GB" w:bidi="en-GB"/>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lang w:val="en-GB" w:eastAsia="en-GB" w:bidi="en-GB"/>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lang w:val="en-GB" w:eastAsia="en-GB" w:bidi="en-G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7" w:lineRule="auto"/>
    </w:pPr>
    <w:rPr>
      <w:rFonts w:ascii="Arial" w:hAnsi="Arial"/>
      <w:color w:val="000000"/>
      <w:sz w:val="22"/>
      <w:lang w:val="en-GB" w:eastAsia="en-GB" w:bidi="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lang w:val="en-GB" w:eastAsia="en-GB" w:bidi="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lang w:val="en-GB" w:eastAsia="en-GB" w:bidi="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lang w:val="en-GB" w:eastAsia="en-GB" w:bidi="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eastAsia="en-GB" w:bidi="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eastAsia="en-GB" w:bidi="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eastAsia="en-GB" w:bidi="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eastAsia="en-GB" w:bidi="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eastAsia="en-GB" w:bidi="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eastAsia="en-GB" w:bidi="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eastAsia="en-GB" w:bidi="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eastAsia="en-GB" w:bidi="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4"/>
      <w:szCs w:val="52"/>
      <w:lang w:val="en-GB" w:eastAsia="en-GB" w:bidi="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eastAsia="en-GB" w:bidi="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GB" w:eastAsia="en-GB" w:bidi="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eastAsia="en-GB" w:bidi="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GB" w:eastAsia="en-GB" w:bidi="en-GB"/>
    </w:rPr>
  </w:style>
  <w:style w:type="character" w:customStyle="1" w:styleId="BodyText3Char">
    <w:name w:val="Body Text 3 Char"/>
    <w:basedOn w:val="DefaultParagraphFont"/>
    <w:link w:val="BodyText3"/>
    <w:uiPriority w:val="99"/>
    <w:rsid w:val="00AA1D8D"/>
    <w:rPr>
      <w:sz w:val="16"/>
      <w:szCs w:val="16"/>
      <w:lang w:val="en-GB" w:eastAsia="en-GB" w:bidi="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eastAsia="en-GB" w:bidi="en-GB"/>
    </w:rPr>
  </w:style>
  <w:style w:type="character" w:customStyle="1" w:styleId="MacroTextChar">
    <w:name w:val="Macro Text Char"/>
    <w:basedOn w:val="DefaultParagraphFont"/>
    <w:link w:val="MacroText"/>
    <w:uiPriority w:val="99"/>
    <w:rsid w:val="0029639D"/>
    <w:rPr>
      <w:rFonts w:ascii="Courier" w:hAnsi="Courier"/>
      <w:sz w:val="20"/>
      <w:szCs w:val="20"/>
      <w:lang w:val="en-GB" w:eastAsia="en-GB" w:bidi="en-GB"/>
    </w:rPr>
  </w:style>
  <w:style w:type="paragraph" w:styleId="Quote">
    <w:name w:val="Quote"/>
    <w:basedOn w:val="Normal"/>
    <w:next w:val="Normal"/>
    <w:link w:val="QuoteChar"/>
    <w:uiPriority w:val="29"/>
    <w:qFormat/>
    <w:rsid w:val="00FC693F"/>
    <w:rPr>
      <w:i/>
      <w:iCs/>
      <w:color w:val="000000" w:themeColor="text1"/>
      <w:lang w:val="en-GB" w:eastAsia="en-GB" w:bidi="en-GB"/>
    </w:rPr>
  </w:style>
  <w:style w:type="character" w:customStyle="1" w:styleId="QuoteChar">
    <w:name w:val="Quote Char"/>
    <w:basedOn w:val="DefaultParagraphFont"/>
    <w:link w:val="Quote"/>
    <w:uiPriority w:val="29"/>
    <w:rsid w:val="00FC693F"/>
    <w:rPr>
      <w:i/>
      <w:iCs/>
      <w:color w:val="000000" w:themeColor="text1"/>
      <w:lang w:val="en-GB" w:eastAsia="en-GB" w:bidi="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eastAsia="en-GB" w:bidi="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eastAsia="en-GB" w:bidi="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eastAsia="en-GB" w:bidi="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eastAsia="en-GB" w:bidi="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eastAsia="en-GB" w:bidi="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eastAsia="en-GB" w:bidi="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eastAsia="en-GB" w:bidi="en-GB"/>
    </w:rPr>
  </w:style>
  <w:style w:type="character" w:styleId="Strong">
    <w:name w:val="Strong"/>
    <w:basedOn w:val="DefaultParagraphFont"/>
    <w:uiPriority w:val="22"/>
    <w:qFormat/>
    <w:rsid w:val="00FC693F"/>
    <w:rPr>
      <w:b/>
      <w:bCs/>
      <w:lang w:val="en-GB" w:eastAsia="en-GB" w:bidi="en-GB"/>
    </w:rPr>
  </w:style>
  <w:style w:type="character" w:styleId="Emphasis">
    <w:name w:val="Emphasis"/>
    <w:basedOn w:val="DefaultParagraphFont"/>
    <w:uiPriority w:val="20"/>
    <w:qFormat/>
    <w:rsid w:val="00FC693F"/>
    <w:rPr>
      <w:i/>
      <w:iCs/>
      <w:lang w:val="en-GB" w:eastAsia="en-GB" w:bidi="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eastAsia="en-GB" w:bidi="en-GB"/>
    </w:rPr>
  </w:style>
  <w:style w:type="character" w:customStyle="1" w:styleId="IntenseQuoteChar">
    <w:name w:val="Intense Quote Char"/>
    <w:basedOn w:val="DefaultParagraphFont"/>
    <w:link w:val="IntenseQuote"/>
    <w:uiPriority w:val="30"/>
    <w:rsid w:val="00FC693F"/>
    <w:rPr>
      <w:b/>
      <w:bCs/>
      <w:i/>
      <w:iCs/>
      <w:color w:val="4F81BD" w:themeColor="accent1"/>
      <w:lang w:val="en-GB" w:eastAsia="en-GB" w:bidi="en-GB"/>
    </w:rPr>
  </w:style>
  <w:style w:type="character" w:styleId="SubtleEmphasis">
    <w:name w:val="Subtle Emphasis"/>
    <w:basedOn w:val="DefaultParagraphFont"/>
    <w:uiPriority w:val="19"/>
    <w:qFormat/>
    <w:rsid w:val="00FC693F"/>
    <w:rPr>
      <w:i/>
      <w:iCs/>
      <w:color w:val="808080" w:themeColor="text1" w:themeTint="7F"/>
      <w:lang w:val="en-GB" w:eastAsia="en-GB" w:bidi="en-GB"/>
    </w:rPr>
  </w:style>
  <w:style w:type="character" w:styleId="IntenseEmphasis">
    <w:name w:val="Intense Emphasis"/>
    <w:basedOn w:val="DefaultParagraphFont"/>
    <w:uiPriority w:val="21"/>
    <w:qFormat/>
    <w:rsid w:val="00FC693F"/>
    <w:rPr>
      <w:b/>
      <w:bCs/>
      <w:i/>
      <w:iCs/>
      <w:color w:val="4F81BD" w:themeColor="accent1"/>
      <w:lang w:val="en-GB" w:eastAsia="en-GB" w:bidi="en-GB"/>
    </w:rPr>
  </w:style>
  <w:style w:type="character" w:styleId="SubtleReference">
    <w:name w:val="Subtle Reference"/>
    <w:basedOn w:val="DefaultParagraphFont"/>
    <w:uiPriority w:val="31"/>
    <w:qFormat/>
    <w:rsid w:val="00FC693F"/>
    <w:rPr>
      <w:smallCaps/>
      <w:color w:val="C0504D" w:themeColor="accent2"/>
      <w:u w:val="single"/>
      <w:lang w:val="en-GB" w:eastAsia="en-GB" w:bidi="en-GB"/>
    </w:rPr>
  </w:style>
  <w:style w:type="character" w:styleId="IntenseReference">
    <w:name w:val="Intense Reference"/>
    <w:basedOn w:val="DefaultParagraphFont"/>
    <w:uiPriority w:val="32"/>
    <w:qFormat/>
    <w:rsid w:val="00FC693F"/>
    <w:rPr>
      <w:b/>
      <w:bCs/>
      <w:smallCaps/>
      <w:color w:val="C0504D" w:themeColor="accent2"/>
      <w:spacing w:val="5"/>
      <w:u w:val="single"/>
      <w:lang w:val="en-GB" w:eastAsia="en-GB" w:bidi="en-GB"/>
    </w:rPr>
  </w:style>
  <w:style w:type="character" w:styleId="BookTitle">
    <w:name w:val="Book Title"/>
    <w:basedOn w:val="DefaultParagraphFont"/>
    <w:uiPriority w:val="33"/>
    <w:qFormat/>
    <w:rsid w:val="00FC693F"/>
    <w:rPr>
      <w:b/>
      <w:bCs/>
      <w:smallCaps/>
      <w:spacing w:val="5"/>
      <w:lang w:val="en-GB" w:eastAsia="en-GB" w:bidi="en-GB"/>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eastAsia="en-GB" w:bidi="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GB" w:eastAsia="en-GB" w:bidi="en-GB"/>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eastAsia="en-GB" w:bidi="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GB" w:eastAsia="en-GB" w:bidi="en-GB"/>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eastAsia="en-GB" w:bidi="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GB" w:eastAsia="en-GB" w:bidi="en-GB"/>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eastAsia="en-GB" w:bidi="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GB" w:eastAsia="en-GB" w:bidi="en-GB"/>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eastAsia="en-GB" w:bidi="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GB" w:eastAsia="en-GB" w:bidi="en-GB"/>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eastAsia="en-GB" w:bidi="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GB" w:eastAsia="en-GB" w:bidi="en-GB"/>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eastAsia="en-GB" w:bidi="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GB" w:eastAsia="en-GB" w:bidi="en-GB"/>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000000" w:themeFill="text1"/>
      </w:tcPr>
    </w:tblStylePr>
    <w:tblStylePr w:type="lastRow">
      <w:pPr>
        <w:spacing w:before="0" w:after="0" w:line="240" w:lineRule="auto"/>
      </w:pPr>
      <w:rPr>
        <w:b/>
        <w:bCs/>
        <w:lang w:val="en-GB" w:eastAsia="en-GB" w:bidi="en-GB"/>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4F81BD" w:themeFill="accent1"/>
      </w:tcPr>
    </w:tblStylePr>
    <w:tblStylePr w:type="lastRow">
      <w:pPr>
        <w:spacing w:before="0" w:after="0" w:line="240" w:lineRule="auto"/>
      </w:pPr>
      <w:rPr>
        <w:b/>
        <w:bCs/>
        <w:lang w:val="en-GB" w:eastAsia="en-GB" w:bidi="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C0504D" w:themeFill="accent2"/>
      </w:tcPr>
    </w:tblStylePr>
    <w:tblStylePr w:type="lastRow">
      <w:pPr>
        <w:spacing w:before="0" w:after="0" w:line="240" w:lineRule="auto"/>
      </w:pPr>
      <w:rPr>
        <w:b/>
        <w:bCs/>
        <w:lang w:val="en-GB" w:eastAsia="en-GB" w:bidi="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9BBB59" w:themeFill="accent3"/>
      </w:tcPr>
    </w:tblStylePr>
    <w:tblStylePr w:type="lastRow">
      <w:pPr>
        <w:spacing w:before="0" w:after="0" w:line="240" w:lineRule="auto"/>
      </w:pPr>
      <w:rPr>
        <w:b/>
        <w:bCs/>
        <w:lang w:val="en-GB" w:eastAsia="en-GB" w:bidi="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8064A2" w:themeFill="accent4"/>
      </w:tcPr>
    </w:tblStylePr>
    <w:tblStylePr w:type="lastRow">
      <w:pPr>
        <w:spacing w:before="0" w:after="0" w:line="240" w:lineRule="auto"/>
      </w:pPr>
      <w:rPr>
        <w:b/>
        <w:bCs/>
        <w:lang w:val="en-GB" w:eastAsia="en-GB" w:bidi="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4BACC6" w:themeFill="accent5"/>
      </w:tcPr>
    </w:tblStylePr>
    <w:tblStylePr w:type="lastRow">
      <w:pPr>
        <w:spacing w:before="0" w:after="0" w:line="240" w:lineRule="auto"/>
      </w:pPr>
      <w:rPr>
        <w:b/>
        <w:bCs/>
        <w:lang w:val="en-GB" w:eastAsia="en-GB" w:bidi="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F79646" w:themeFill="accent6"/>
      </w:tcPr>
    </w:tblStylePr>
    <w:tblStylePr w:type="lastRow">
      <w:pPr>
        <w:spacing w:before="0" w:after="0" w:line="240" w:lineRule="auto"/>
      </w:pPr>
      <w:rPr>
        <w:b/>
        <w:bCs/>
        <w:lang w:val="en-GB" w:eastAsia="en-GB" w:bidi="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GB" w:eastAsia="en-GB" w:bidi="en-GB"/>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GB" w:eastAsia="en-GB" w:bidi="en-GB"/>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GB" w:eastAsia="en-GB" w:bidi="en-GB"/>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GB" w:eastAsia="en-GB" w:bidi="en-GB"/>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GB" w:eastAsia="en-GB" w:bidi="en-GB"/>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GB" w:eastAsia="en-GB" w:bidi="en-GB"/>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GB" w:eastAsia="en-GB" w:bidi="en-GB"/>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GB" w:eastAsia="en-GB" w:bidi="en-GB"/>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GB" w:eastAsia="en-GB" w:bidi="en-GB"/>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GB" w:eastAsia="en-GB" w:bidi="en-GB"/>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GB" w:eastAsia="en-GB" w:bidi="en-GB"/>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GB" w:eastAsia="en-GB" w:bidi="en-GB"/>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GB" w:eastAsia="en-GB" w:bidi="en-GB"/>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GB" w:eastAsia="en-GB" w:bidi="en-GB"/>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000000" w:themeColor="text1"/>
        </w:tcBorders>
      </w:tcPr>
    </w:tblStylePr>
    <w:tblStylePr w:type="lastRow">
      <w:rPr>
        <w:b/>
        <w:bCs/>
        <w:color w:val="1F497D" w:themeColor="text2"/>
        <w:lang w:val="en-GB" w:eastAsia="en-GB" w:bidi="en-GB"/>
      </w:rPr>
      <w:tblPr/>
      <w:tcPr>
        <w:tcBorders>
          <w:top w:val="single" w:sz="8" w:space="0" w:color="000000" w:themeColor="text1"/>
          <w:bottom w:val="single" w:sz="8" w:space="0" w:color="000000" w:themeColor="text1"/>
        </w:tcBorders>
      </w:tcPr>
    </w:tblStylePr>
    <w:tblStylePr w:type="firstCol">
      <w:rPr>
        <w:b/>
        <w:bCs/>
        <w:lang w:val="en-GB" w:eastAsia="en-GB" w:bidi="en-GB"/>
      </w:rPr>
    </w:tblStylePr>
    <w:tblStylePr w:type="lastCol">
      <w:rPr>
        <w:b/>
        <w:bCs/>
        <w:lang w:val="en-GB" w:eastAsia="en-GB" w:bidi="en-GB"/>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4F81BD" w:themeColor="accent1"/>
        </w:tcBorders>
      </w:tcPr>
    </w:tblStylePr>
    <w:tblStylePr w:type="lastRow">
      <w:rPr>
        <w:b/>
        <w:bCs/>
        <w:color w:val="1F497D" w:themeColor="text2"/>
        <w:lang w:val="en-GB" w:eastAsia="en-GB" w:bidi="en-GB"/>
      </w:rPr>
      <w:tblPr/>
      <w:tcPr>
        <w:tcBorders>
          <w:top w:val="single" w:sz="8" w:space="0" w:color="4F81BD" w:themeColor="accent1"/>
          <w:bottom w:val="single" w:sz="8" w:space="0" w:color="4F81BD" w:themeColor="accent1"/>
        </w:tcBorders>
      </w:tcPr>
    </w:tblStylePr>
    <w:tblStylePr w:type="firstCol">
      <w:rPr>
        <w:b/>
        <w:bCs/>
        <w:lang w:val="en-GB" w:eastAsia="en-GB" w:bidi="en-GB"/>
      </w:rPr>
    </w:tblStylePr>
    <w:tblStylePr w:type="lastCol">
      <w:rPr>
        <w:b/>
        <w:bCs/>
        <w:lang w:val="en-GB" w:eastAsia="en-GB" w:bidi="en-GB"/>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C0504D" w:themeColor="accent2"/>
        </w:tcBorders>
      </w:tcPr>
    </w:tblStylePr>
    <w:tblStylePr w:type="lastRow">
      <w:rPr>
        <w:b/>
        <w:bCs/>
        <w:color w:val="1F497D" w:themeColor="text2"/>
        <w:lang w:val="en-GB" w:eastAsia="en-GB" w:bidi="en-GB"/>
      </w:rPr>
      <w:tblPr/>
      <w:tcPr>
        <w:tcBorders>
          <w:top w:val="single" w:sz="8" w:space="0" w:color="C0504D" w:themeColor="accent2"/>
          <w:bottom w:val="single" w:sz="8" w:space="0" w:color="C0504D" w:themeColor="accent2"/>
        </w:tcBorders>
      </w:tcPr>
    </w:tblStylePr>
    <w:tblStylePr w:type="firstCol">
      <w:rPr>
        <w:b/>
        <w:bCs/>
        <w:lang w:val="en-GB" w:eastAsia="en-GB" w:bidi="en-GB"/>
      </w:rPr>
    </w:tblStylePr>
    <w:tblStylePr w:type="lastCol">
      <w:rPr>
        <w:b/>
        <w:bCs/>
        <w:lang w:val="en-GB" w:eastAsia="en-GB" w:bidi="en-GB"/>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9BBB59" w:themeColor="accent3"/>
        </w:tcBorders>
      </w:tcPr>
    </w:tblStylePr>
    <w:tblStylePr w:type="lastRow">
      <w:rPr>
        <w:b/>
        <w:bCs/>
        <w:color w:val="1F497D" w:themeColor="text2"/>
        <w:lang w:val="en-GB" w:eastAsia="en-GB" w:bidi="en-GB"/>
      </w:rPr>
      <w:tblPr/>
      <w:tcPr>
        <w:tcBorders>
          <w:top w:val="single" w:sz="8" w:space="0" w:color="9BBB59" w:themeColor="accent3"/>
          <w:bottom w:val="single" w:sz="8" w:space="0" w:color="9BBB59" w:themeColor="accent3"/>
        </w:tcBorders>
      </w:tcPr>
    </w:tblStylePr>
    <w:tblStylePr w:type="firstCol">
      <w:rPr>
        <w:b/>
        <w:bCs/>
        <w:lang w:val="en-GB" w:eastAsia="en-GB" w:bidi="en-GB"/>
      </w:rPr>
    </w:tblStylePr>
    <w:tblStylePr w:type="lastCol">
      <w:rPr>
        <w:b/>
        <w:bCs/>
        <w:lang w:val="en-GB" w:eastAsia="en-GB" w:bidi="en-GB"/>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8064A2" w:themeColor="accent4"/>
        </w:tcBorders>
      </w:tcPr>
    </w:tblStylePr>
    <w:tblStylePr w:type="lastRow">
      <w:rPr>
        <w:b/>
        <w:bCs/>
        <w:color w:val="1F497D" w:themeColor="text2"/>
        <w:lang w:val="en-GB" w:eastAsia="en-GB" w:bidi="en-GB"/>
      </w:rPr>
      <w:tblPr/>
      <w:tcPr>
        <w:tcBorders>
          <w:top w:val="single" w:sz="8" w:space="0" w:color="8064A2" w:themeColor="accent4"/>
          <w:bottom w:val="single" w:sz="8" w:space="0" w:color="8064A2" w:themeColor="accent4"/>
        </w:tcBorders>
      </w:tcPr>
    </w:tblStylePr>
    <w:tblStylePr w:type="firstCol">
      <w:rPr>
        <w:b/>
        <w:bCs/>
        <w:lang w:val="en-GB" w:eastAsia="en-GB" w:bidi="en-GB"/>
      </w:rPr>
    </w:tblStylePr>
    <w:tblStylePr w:type="lastCol">
      <w:rPr>
        <w:b/>
        <w:bCs/>
        <w:lang w:val="en-GB" w:eastAsia="en-GB" w:bidi="en-GB"/>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4BACC6" w:themeColor="accent5"/>
        </w:tcBorders>
      </w:tcPr>
    </w:tblStylePr>
    <w:tblStylePr w:type="lastRow">
      <w:rPr>
        <w:b/>
        <w:bCs/>
        <w:color w:val="1F497D" w:themeColor="text2"/>
        <w:lang w:val="en-GB" w:eastAsia="en-GB" w:bidi="en-GB"/>
      </w:rPr>
      <w:tblPr/>
      <w:tcPr>
        <w:tcBorders>
          <w:top w:val="single" w:sz="8" w:space="0" w:color="4BACC6" w:themeColor="accent5"/>
          <w:bottom w:val="single" w:sz="8" w:space="0" w:color="4BACC6" w:themeColor="accent5"/>
        </w:tcBorders>
      </w:tcPr>
    </w:tblStylePr>
    <w:tblStylePr w:type="firstCol">
      <w:rPr>
        <w:b/>
        <w:bCs/>
        <w:lang w:val="en-GB" w:eastAsia="en-GB" w:bidi="en-GB"/>
      </w:rPr>
    </w:tblStylePr>
    <w:tblStylePr w:type="lastCol">
      <w:rPr>
        <w:b/>
        <w:bCs/>
        <w:lang w:val="en-GB" w:eastAsia="en-GB" w:bidi="en-GB"/>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F79646" w:themeColor="accent6"/>
        </w:tcBorders>
      </w:tcPr>
    </w:tblStylePr>
    <w:tblStylePr w:type="lastRow">
      <w:rPr>
        <w:b/>
        <w:bCs/>
        <w:color w:val="1F497D" w:themeColor="text2"/>
        <w:lang w:val="en-GB" w:eastAsia="en-GB" w:bidi="en-GB"/>
      </w:rPr>
      <w:tblPr/>
      <w:tcPr>
        <w:tcBorders>
          <w:top w:val="single" w:sz="8" w:space="0" w:color="F79646" w:themeColor="accent6"/>
          <w:bottom w:val="single" w:sz="8" w:space="0" w:color="F79646" w:themeColor="accent6"/>
        </w:tcBorders>
      </w:tcPr>
    </w:tblStylePr>
    <w:tblStylePr w:type="firstCol">
      <w:rPr>
        <w:b/>
        <w:bCs/>
        <w:lang w:val="en-GB" w:eastAsia="en-GB" w:bidi="en-GB"/>
      </w:rPr>
    </w:tblStylePr>
    <w:tblStylePr w:type="lastCol">
      <w:rPr>
        <w:b/>
        <w:bCs/>
        <w:lang w:val="en-GB" w:eastAsia="en-GB" w:bidi="en-GB"/>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GB" w:eastAsia="en-GB" w:bidi="en-GB"/>
      </w:rPr>
    </w:tblStylePr>
    <w:tblStylePr w:type="lastRow">
      <w:rPr>
        <w:b/>
        <w:bCs/>
        <w:lang w:val="en-GB" w:eastAsia="en-GB" w:bidi="en-GB"/>
      </w:rPr>
      <w:tblPr/>
      <w:tcPr>
        <w:tcBorders>
          <w:top w:val="single" w:sz="18" w:space="0" w:color="404040" w:themeColor="text1"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GB" w:eastAsia="en-GB" w:bidi="en-GB"/>
      </w:rPr>
    </w:tblStylePr>
    <w:tblStylePr w:type="lastRow">
      <w:rPr>
        <w:b/>
        <w:bCs/>
        <w:lang w:val="en-GB" w:eastAsia="en-GB" w:bidi="en-GB"/>
      </w:rPr>
      <w:tblPr/>
      <w:tcPr>
        <w:tcBorders>
          <w:top w:val="single" w:sz="18" w:space="0" w:color="7BA0CD" w:themeColor="accent1"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GB" w:eastAsia="en-GB" w:bidi="en-GB"/>
      </w:rPr>
    </w:tblStylePr>
    <w:tblStylePr w:type="lastRow">
      <w:rPr>
        <w:b/>
        <w:bCs/>
        <w:lang w:val="en-GB" w:eastAsia="en-GB" w:bidi="en-GB"/>
      </w:rPr>
      <w:tblPr/>
      <w:tcPr>
        <w:tcBorders>
          <w:top w:val="single" w:sz="18" w:space="0" w:color="CF7B79" w:themeColor="accent2"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GB" w:eastAsia="en-GB" w:bidi="en-GB"/>
      </w:rPr>
    </w:tblStylePr>
    <w:tblStylePr w:type="lastRow">
      <w:rPr>
        <w:b/>
        <w:bCs/>
        <w:lang w:val="en-GB" w:eastAsia="en-GB" w:bidi="en-GB"/>
      </w:rPr>
      <w:tblPr/>
      <w:tcPr>
        <w:tcBorders>
          <w:top w:val="single" w:sz="18" w:space="0" w:color="B3CC82" w:themeColor="accent3"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GB" w:eastAsia="en-GB" w:bidi="en-GB"/>
      </w:rPr>
    </w:tblStylePr>
    <w:tblStylePr w:type="lastRow">
      <w:rPr>
        <w:b/>
        <w:bCs/>
        <w:lang w:val="en-GB" w:eastAsia="en-GB" w:bidi="en-GB"/>
      </w:rPr>
      <w:tblPr/>
      <w:tcPr>
        <w:tcBorders>
          <w:top w:val="single" w:sz="18" w:space="0" w:color="9F8AB9" w:themeColor="accent4"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GB" w:eastAsia="en-GB" w:bidi="en-GB"/>
      </w:rPr>
    </w:tblStylePr>
    <w:tblStylePr w:type="lastRow">
      <w:rPr>
        <w:b/>
        <w:bCs/>
        <w:lang w:val="en-GB" w:eastAsia="en-GB" w:bidi="en-GB"/>
      </w:rPr>
      <w:tblPr/>
      <w:tcPr>
        <w:tcBorders>
          <w:top w:val="single" w:sz="18" w:space="0" w:color="78C0D4" w:themeColor="accent5"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GB" w:eastAsia="en-GB" w:bidi="en-GB"/>
      </w:rPr>
    </w:tblStylePr>
    <w:tblStylePr w:type="lastRow">
      <w:rPr>
        <w:b/>
        <w:bCs/>
        <w:lang w:val="en-GB" w:eastAsia="en-GB" w:bidi="en-GB"/>
      </w:rPr>
      <w:tblPr/>
      <w:tcPr>
        <w:tcBorders>
          <w:top w:val="single" w:sz="18" w:space="0" w:color="F9B074" w:themeColor="accent6"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GB" w:eastAsia="en-GB" w:bidi="en-GB"/>
      </w:rPr>
      <w:tblPr/>
      <w:tcPr>
        <w:shd w:val="clear" w:color="auto" w:fill="E6E6E6" w:themeFill="text1"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GB" w:eastAsia="en-GB" w:bidi="en-GB"/>
      </w:rPr>
      <w:tblPr/>
      <w:tcPr>
        <w:shd w:val="clear" w:color="auto" w:fill="EDF2F8" w:themeFill="accent1"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GB" w:eastAsia="en-GB" w:bidi="en-GB"/>
      </w:rPr>
      <w:tblPr/>
      <w:tcPr>
        <w:shd w:val="clear" w:color="auto" w:fill="F8EDED" w:themeFill="accent2"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GB" w:eastAsia="en-GB" w:bidi="en-GB"/>
      </w:rPr>
      <w:tblPr/>
      <w:tcPr>
        <w:shd w:val="clear" w:color="auto" w:fill="F5F8EE" w:themeFill="accent3"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GB" w:eastAsia="en-GB" w:bidi="en-GB"/>
      </w:rPr>
      <w:tblPr/>
      <w:tcPr>
        <w:shd w:val="clear" w:color="auto" w:fill="F2EFF6" w:themeFill="accent4"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GB" w:eastAsia="en-GB" w:bidi="en-GB"/>
      </w:rPr>
      <w:tblPr/>
      <w:tcPr>
        <w:shd w:val="clear" w:color="auto" w:fill="EDF6F9" w:themeFill="accent5"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GB" w:eastAsia="en-GB" w:bidi="en-GB"/>
      </w:rPr>
      <w:tblPr/>
      <w:tcPr>
        <w:shd w:val="clear" w:color="auto" w:fill="FEF4EC" w:themeFill="accent6"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GB" w:eastAsia="en-GB" w:bidi="en-GB"/>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1">
    <w:name w:val="Colorful Shading Accent 1"/>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GB" w:eastAsia="en-GB" w:bidi="en-GB"/>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2">
    <w:name w:val="Colorful Shading Accent 2"/>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GB" w:eastAsia="en-GB" w:bidi="en-GB"/>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3">
    <w:name w:val="Colorful Shading Accent 3"/>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GB" w:eastAsia="en-GB" w:bidi="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GB" w:eastAsia="en-GB" w:bidi="en-GB"/>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GB" w:eastAsia="en-GB" w:bidi="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GB" w:eastAsia="en-GB" w:bidi="en-GB"/>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5">
    <w:name w:val="Colorful Shading Accent 5"/>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GB" w:eastAsia="en-GB" w:bidi="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GB" w:eastAsia="en-GB" w:bidi="en-GB"/>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6">
    <w:name w:val="Colorful Shading Accent 6"/>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GB" w:eastAsia="en-GB" w:bidi="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GB" w:eastAsia="en-GB" w:bidi="en-GB"/>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List">
    <w:name w:val="Colorful List"/>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GB" w:eastAsia="en-GB" w:bidi="en-GB"/>
      </w:rPr>
      <w:tblPr/>
      <w:tcPr>
        <w:shd w:val="clear" w:color="auto" w:fill="999999" w:themeFill="text1" w:themeFillTint="66"/>
      </w:tcPr>
    </w:tblStylePr>
    <w:tblStylePr w:type="lastRow">
      <w:rPr>
        <w:b/>
        <w:bCs/>
        <w:color w:val="000000" w:themeColor="text1"/>
        <w:lang w:val="en-GB" w:eastAsia="en-GB" w:bidi="en-GB"/>
      </w:rPr>
      <w:tblPr/>
      <w:tcPr>
        <w:shd w:val="clear" w:color="auto" w:fill="999999" w:themeFill="text1" w:themeFillTint="66"/>
      </w:tcPr>
    </w:tblStylePr>
    <w:tblStylePr w:type="firstCol">
      <w:rPr>
        <w:color w:val="FFFFFF" w:themeColor="background1"/>
        <w:lang w:val="en-GB" w:eastAsia="en-GB" w:bidi="en-GB"/>
      </w:rPr>
      <w:tblPr/>
      <w:tcPr>
        <w:shd w:val="clear" w:color="auto" w:fill="000000" w:themeFill="text1" w:themeFillShade="BF"/>
      </w:tcPr>
    </w:tblStylePr>
    <w:tblStylePr w:type="lastCol">
      <w:rPr>
        <w:color w:val="FFFFFF" w:themeColor="background1"/>
        <w:lang w:val="en-GB" w:eastAsia="en-GB" w:bidi="en-GB"/>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GB" w:eastAsia="en-GB" w:bidi="en-GB"/>
      </w:rPr>
      <w:tblPr/>
      <w:tcPr>
        <w:shd w:val="clear" w:color="auto" w:fill="B8CCE4" w:themeFill="accent1" w:themeFillTint="66"/>
      </w:tcPr>
    </w:tblStylePr>
    <w:tblStylePr w:type="lastRow">
      <w:rPr>
        <w:b/>
        <w:bCs/>
        <w:color w:val="000000" w:themeColor="text1"/>
        <w:lang w:val="en-GB" w:eastAsia="en-GB" w:bidi="en-GB"/>
      </w:rPr>
      <w:tblPr/>
      <w:tcPr>
        <w:shd w:val="clear" w:color="auto" w:fill="B8CCE4" w:themeFill="accent1" w:themeFillTint="66"/>
      </w:tcPr>
    </w:tblStylePr>
    <w:tblStylePr w:type="firstCol">
      <w:rPr>
        <w:color w:val="FFFFFF" w:themeColor="background1"/>
        <w:lang w:val="en-GB" w:eastAsia="en-GB" w:bidi="en-GB"/>
      </w:rPr>
      <w:tblPr/>
      <w:tcPr>
        <w:shd w:val="clear" w:color="auto" w:fill="365F91" w:themeFill="accent1" w:themeFillShade="BF"/>
      </w:tcPr>
    </w:tblStylePr>
    <w:tblStylePr w:type="lastCol">
      <w:rPr>
        <w:color w:val="FFFFFF" w:themeColor="background1"/>
        <w:lang w:val="en-GB" w:eastAsia="en-GB" w:bidi="en-GB"/>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GB" w:eastAsia="en-GB" w:bidi="en-GB"/>
      </w:rPr>
      <w:tblPr/>
      <w:tcPr>
        <w:shd w:val="clear" w:color="auto" w:fill="E5B8B7" w:themeFill="accent2" w:themeFillTint="66"/>
      </w:tcPr>
    </w:tblStylePr>
    <w:tblStylePr w:type="lastRow">
      <w:rPr>
        <w:b/>
        <w:bCs/>
        <w:color w:val="000000" w:themeColor="text1"/>
        <w:lang w:val="en-GB" w:eastAsia="en-GB" w:bidi="en-GB"/>
      </w:rPr>
      <w:tblPr/>
      <w:tcPr>
        <w:shd w:val="clear" w:color="auto" w:fill="E5B8B7" w:themeFill="accent2" w:themeFillTint="66"/>
      </w:tcPr>
    </w:tblStylePr>
    <w:tblStylePr w:type="firstCol">
      <w:rPr>
        <w:color w:val="FFFFFF" w:themeColor="background1"/>
        <w:lang w:val="en-GB" w:eastAsia="en-GB" w:bidi="en-GB"/>
      </w:rPr>
      <w:tblPr/>
      <w:tcPr>
        <w:shd w:val="clear" w:color="auto" w:fill="943634" w:themeFill="accent2" w:themeFillShade="BF"/>
      </w:tcPr>
    </w:tblStylePr>
    <w:tblStylePr w:type="lastCol">
      <w:rPr>
        <w:color w:val="FFFFFF" w:themeColor="background1"/>
        <w:lang w:val="en-GB" w:eastAsia="en-GB" w:bidi="en-GB"/>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GB" w:eastAsia="en-GB" w:bidi="en-GB"/>
      </w:rPr>
      <w:tblPr/>
      <w:tcPr>
        <w:shd w:val="clear" w:color="auto" w:fill="D6E3BC" w:themeFill="accent3" w:themeFillTint="66"/>
      </w:tcPr>
    </w:tblStylePr>
    <w:tblStylePr w:type="lastRow">
      <w:rPr>
        <w:b/>
        <w:bCs/>
        <w:color w:val="000000" w:themeColor="text1"/>
        <w:lang w:val="en-GB" w:eastAsia="en-GB" w:bidi="en-GB"/>
      </w:rPr>
      <w:tblPr/>
      <w:tcPr>
        <w:shd w:val="clear" w:color="auto" w:fill="D6E3BC" w:themeFill="accent3" w:themeFillTint="66"/>
      </w:tcPr>
    </w:tblStylePr>
    <w:tblStylePr w:type="firstCol">
      <w:rPr>
        <w:color w:val="FFFFFF" w:themeColor="background1"/>
        <w:lang w:val="en-GB" w:eastAsia="en-GB" w:bidi="en-GB"/>
      </w:rPr>
      <w:tblPr/>
      <w:tcPr>
        <w:shd w:val="clear" w:color="auto" w:fill="76923C" w:themeFill="accent3" w:themeFillShade="BF"/>
      </w:tcPr>
    </w:tblStylePr>
    <w:tblStylePr w:type="lastCol">
      <w:rPr>
        <w:color w:val="FFFFFF" w:themeColor="background1"/>
        <w:lang w:val="en-GB" w:eastAsia="en-GB" w:bidi="en-GB"/>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GB" w:eastAsia="en-GB" w:bidi="en-GB"/>
      </w:rPr>
      <w:tblPr/>
      <w:tcPr>
        <w:shd w:val="clear" w:color="auto" w:fill="CCC0D9" w:themeFill="accent4" w:themeFillTint="66"/>
      </w:tcPr>
    </w:tblStylePr>
    <w:tblStylePr w:type="lastRow">
      <w:rPr>
        <w:b/>
        <w:bCs/>
        <w:color w:val="000000" w:themeColor="text1"/>
        <w:lang w:val="en-GB" w:eastAsia="en-GB" w:bidi="en-GB"/>
      </w:rPr>
      <w:tblPr/>
      <w:tcPr>
        <w:shd w:val="clear" w:color="auto" w:fill="CCC0D9" w:themeFill="accent4" w:themeFillTint="66"/>
      </w:tcPr>
    </w:tblStylePr>
    <w:tblStylePr w:type="firstCol">
      <w:rPr>
        <w:color w:val="FFFFFF" w:themeColor="background1"/>
        <w:lang w:val="en-GB" w:eastAsia="en-GB" w:bidi="en-GB"/>
      </w:rPr>
      <w:tblPr/>
      <w:tcPr>
        <w:shd w:val="clear" w:color="auto" w:fill="5F497A" w:themeFill="accent4" w:themeFillShade="BF"/>
      </w:tcPr>
    </w:tblStylePr>
    <w:tblStylePr w:type="lastCol">
      <w:rPr>
        <w:color w:val="FFFFFF" w:themeColor="background1"/>
        <w:lang w:val="en-GB" w:eastAsia="en-GB" w:bidi="en-GB"/>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GB" w:eastAsia="en-GB" w:bidi="en-GB"/>
      </w:rPr>
      <w:tblPr/>
      <w:tcPr>
        <w:shd w:val="clear" w:color="auto" w:fill="B6DDE8" w:themeFill="accent5" w:themeFillTint="66"/>
      </w:tcPr>
    </w:tblStylePr>
    <w:tblStylePr w:type="lastRow">
      <w:rPr>
        <w:b/>
        <w:bCs/>
        <w:color w:val="000000" w:themeColor="text1"/>
        <w:lang w:val="en-GB" w:eastAsia="en-GB" w:bidi="en-GB"/>
      </w:rPr>
      <w:tblPr/>
      <w:tcPr>
        <w:shd w:val="clear" w:color="auto" w:fill="B6DDE8" w:themeFill="accent5" w:themeFillTint="66"/>
      </w:tcPr>
    </w:tblStylePr>
    <w:tblStylePr w:type="firstCol">
      <w:rPr>
        <w:color w:val="FFFFFF" w:themeColor="background1"/>
        <w:lang w:val="en-GB" w:eastAsia="en-GB" w:bidi="en-GB"/>
      </w:rPr>
      <w:tblPr/>
      <w:tcPr>
        <w:shd w:val="clear" w:color="auto" w:fill="31849B" w:themeFill="accent5" w:themeFillShade="BF"/>
      </w:tcPr>
    </w:tblStylePr>
    <w:tblStylePr w:type="lastCol">
      <w:rPr>
        <w:color w:val="FFFFFF" w:themeColor="background1"/>
        <w:lang w:val="en-GB" w:eastAsia="en-GB" w:bidi="en-GB"/>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GB" w:eastAsia="en-GB" w:bidi="en-GB"/>
      </w:rPr>
      <w:tblPr/>
      <w:tcPr>
        <w:shd w:val="clear" w:color="auto" w:fill="FBD4B4" w:themeFill="accent6" w:themeFillTint="66"/>
      </w:tcPr>
    </w:tblStylePr>
    <w:tblStylePr w:type="lastRow">
      <w:rPr>
        <w:b/>
        <w:bCs/>
        <w:color w:val="000000" w:themeColor="text1"/>
        <w:lang w:val="en-GB" w:eastAsia="en-GB" w:bidi="en-GB"/>
      </w:rPr>
      <w:tblPr/>
      <w:tcPr>
        <w:shd w:val="clear" w:color="auto" w:fill="FBD4B4" w:themeFill="accent6" w:themeFillTint="66"/>
      </w:tcPr>
    </w:tblStylePr>
    <w:tblStylePr w:type="firstCol">
      <w:rPr>
        <w:color w:val="FFFFFF" w:themeColor="background1"/>
        <w:lang w:val="en-GB" w:eastAsia="en-GB" w:bidi="en-GB"/>
      </w:rPr>
      <w:tblPr/>
      <w:tcPr>
        <w:shd w:val="clear" w:color="auto" w:fill="E36C0A" w:themeFill="accent6" w:themeFillShade="BF"/>
      </w:tcPr>
    </w:tblStylePr>
    <w:tblStylePr w:type="lastCol">
      <w:rPr>
        <w:color w:val="FFFFFF" w:themeColor="background1"/>
        <w:lang w:val="en-GB" w:eastAsia="en-GB" w:bidi="en-GB"/>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lang w:val="en-GB" w:eastAsia="en-GB" w:bidi="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lang w:val="en-GB" w:eastAsia="en-GB" w:bidi="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GB" w:eastAsia="en-GB" w:bidi="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eastAsia="en-GB" w:bidi="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eastAsia="en-GB" w:bidi="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eastAsia="en-GB" w:bidi="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eastAsia="en-GB" w:bidi="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eastAsia="en-GB" w:bidi="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GB" w:eastAsia="en-GB" w:bidi="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GB" w:eastAsia="en-GB" w:bidi="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GB" w:eastAsia="en-GB" w:bidi="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GB" w:eastAsia="en-GB" w:bidi="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eastAsia="en-GB" w:bidi="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GB" w:eastAsia="en-GB" w:bidi="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eastAsia="en-GB" w:bidi="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GB" w:eastAsia="en-GB" w:bidi="en-GB"/>
    </w:rPr>
  </w:style>
  <w:style w:type="character" w:customStyle="1" w:styleId="BodyText3Char">
    <w:name w:val="Body Text 3 Char"/>
    <w:basedOn w:val="DefaultParagraphFont"/>
    <w:link w:val="BodyText3"/>
    <w:uiPriority w:val="99"/>
    <w:rsid w:val="00AA1D8D"/>
    <w:rPr>
      <w:sz w:val="16"/>
      <w:szCs w:val="16"/>
      <w:lang w:val="en-GB" w:eastAsia="en-GB" w:bidi="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eastAsia="en-GB" w:bidi="en-GB"/>
    </w:rPr>
  </w:style>
  <w:style w:type="character" w:customStyle="1" w:styleId="MacroTextChar">
    <w:name w:val="Macro Text Char"/>
    <w:basedOn w:val="DefaultParagraphFont"/>
    <w:link w:val="MacroText"/>
    <w:uiPriority w:val="99"/>
    <w:rsid w:val="0029639D"/>
    <w:rPr>
      <w:rFonts w:ascii="Courier" w:hAnsi="Courier"/>
      <w:sz w:val="20"/>
      <w:szCs w:val="20"/>
      <w:lang w:val="en-GB" w:eastAsia="en-GB" w:bidi="en-GB"/>
    </w:rPr>
  </w:style>
  <w:style w:type="paragraph" w:styleId="Quote">
    <w:name w:val="Quote"/>
    <w:basedOn w:val="Normal"/>
    <w:next w:val="Normal"/>
    <w:link w:val="QuoteChar"/>
    <w:uiPriority w:val="29"/>
    <w:qFormat/>
    <w:rsid w:val="00FC693F"/>
    <w:rPr>
      <w:i/>
      <w:iCs/>
      <w:color w:val="000000" w:themeColor="text1"/>
      <w:lang w:val="en-GB" w:eastAsia="en-GB" w:bidi="en-GB"/>
    </w:rPr>
  </w:style>
  <w:style w:type="character" w:customStyle="1" w:styleId="QuoteChar">
    <w:name w:val="Quote Char"/>
    <w:basedOn w:val="DefaultParagraphFont"/>
    <w:link w:val="Quote"/>
    <w:uiPriority w:val="29"/>
    <w:rsid w:val="00FC693F"/>
    <w:rPr>
      <w:i/>
      <w:iCs/>
      <w:color w:val="000000" w:themeColor="text1"/>
      <w:lang w:val="en-GB" w:eastAsia="en-GB" w:bidi="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GB" w:eastAsia="en-GB" w:bidi="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GB" w:eastAsia="en-GB" w:bidi="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GB" w:eastAsia="en-GB" w:bidi="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GB" w:eastAsia="en-GB" w:bidi="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eastAsia="en-GB" w:bidi="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eastAsia="en-GB" w:bidi="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GB" w:eastAsia="en-GB" w:bidi="en-GB"/>
    </w:rPr>
  </w:style>
  <w:style w:type="character" w:styleId="Strong">
    <w:name w:val="Strong"/>
    <w:basedOn w:val="DefaultParagraphFont"/>
    <w:uiPriority w:val="22"/>
    <w:qFormat/>
    <w:rsid w:val="00FC693F"/>
    <w:rPr>
      <w:b/>
      <w:bCs/>
      <w:lang w:val="en-GB" w:eastAsia="en-GB" w:bidi="en-GB"/>
    </w:rPr>
  </w:style>
  <w:style w:type="character" w:styleId="Emphasis">
    <w:name w:val="Emphasis"/>
    <w:basedOn w:val="DefaultParagraphFont"/>
    <w:uiPriority w:val="20"/>
    <w:qFormat/>
    <w:rsid w:val="00FC693F"/>
    <w:rPr>
      <w:i/>
      <w:iCs/>
      <w:lang w:val="en-GB" w:eastAsia="en-GB" w:bidi="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eastAsia="en-GB" w:bidi="en-GB"/>
    </w:rPr>
  </w:style>
  <w:style w:type="character" w:customStyle="1" w:styleId="IntenseQuoteChar">
    <w:name w:val="Intense Quote Char"/>
    <w:basedOn w:val="DefaultParagraphFont"/>
    <w:link w:val="IntenseQuote"/>
    <w:uiPriority w:val="30"/>
    <w:rsid w:val="00FC693F"/>
    <w:rPr>
      <w:b/>
      <w:bCs/>
      <w:i/>
      <w:iCs/>
      <w:color w:val="4F81BD" w:themeColor="accent1"/>
      <w:lang w:val="en-GB" w:eastAsia="en-GB" w:bidi="en-GB"/>
    </w:rPr>
  </w:style>
  <w:style w:type="character" w:styleId="SubtleEmphasis">
    <w:name w:val="Subtle Emphasis"/>
    <w:basedOn w:val="DefaultParagraphFont"/>
    <w:uiPriority w:val="19"/>
    <w:qFormat/>
    <w:rsid w:val="00FC693F"/>
    <w:rPr>
      <w:i/>
      <w:iCs/>
      <w:color w:val="808080" w:themeColor="text1" w:themeTint="7F"/>
      <w:lang w:val="en-GB" w:eastAsia="en-GB" w:bidi="en-GB"/>
    </w:rPr>
  </w:style>
  <w:style w:type="character" w:styleId="IntenseEmphasis">
    <w:name w:val="Intense Emphasis"/>
    <w:basedOn w:val="DefaultParagraphFont"/>
    <w:uiPriority w:val="21"/>
    <w:qFormat/>
    <w:rsid w:val="00FC693F"/>
    <w:rPr>
      <w:b/>
      <w:bCs/>
      <w:i/>
      <w:iCs/>
      <w:color w:val="4F81BD" w:themeColor="accent1"/>
      <w:lang w:val="en-GB" w:eastAsia="en-GB" w:bidi="en-GB"/>
    </w:rPr>
  </w:style>
  <w:style w:type="character" w:styleId="SubtleReference">
    <w:name w:val="Subtle Reference"/>
    <w:basedOn w:val="DefaultParagraphFont"/>
    <w:uiPriority w:val="31"/>
    <w:qFormat/>
    <w:rsid w:val="00FC693F"/>
    <w:rPr>
      <w:smallCaps/>
      <w:color w:val="C0504D" w:themeColor="accent2"/>
      <w:u w:val="single"/>
      <w:lang w:val="en-GB" w:eastAsia="en-GB" w:bidi="en-GB"/>
    </w:rPr>
  </w:style>
  <w:style w:type="character" w:styleId="IntenseReference">
    <w:name w:val="Intense Reference"/>
    <w:basedOn w:val="DefaultParagraphFont"/>
    <w:uiPriority w:val="32"/>
    <w:qFormat/>
    <w:rsid w:val="00FC693F"/>
    <w:rPr>
      <w:b/>
      <w:bCs/>
      <w:smallCaps/>
      <w:color w:val="C0504D" w:themeColor="accent2"/>
      <w:spacing w:val="5"/>
      <w:u w:val="single"/>
      <w:lang w:val="en-GB" w:eastAsia="en-GB" w:bidi="en-GB"/>
    </w:rPr>
  </w:style>
  <w:style w:type="character" w:styleId="BookTitle">
    <w:name w:val="Book Title"/>
    <w:basedOn w:val="DefaultParagraphFont"/>
    <w:uiPriority w:val="33"/>
    <w:qFormat/>
    <w:rsid w:val="00FC693F"/>
    <w:rPr>
      <w:b/>
      <w:bCs/>
      <w:smallCaps/>
      <w:spacing w:val="5"/>
      <w:lang w:val="en-GB" w:eastAsia="en-GB" w:bidi="en-GB"/>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GB" w:eastAsia="en-GB" w:bidi="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n-GB" w:eastAsia="en-GB" w:bidi="en-GB"/>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GB" w:eastAsia="en-GB" w:bidi="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n-GB" w:eastAsia="en-GB" w:bidi="en-GB"/>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GB" w:eastAsia="en-GB" w:bidi="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n-GB" w:eastAsia="en-GB" w:bidi="en-GB"/>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GB" w:eastAsia="en-GB" w:bidi="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n-GB" w:eastAsia="en-GB" w:bidi="en-GB"/>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GB" w:eastAsia="en-GB" w:bidi="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n-GB" w:eastAsia="en-GB" w:bidi="en-GB"/>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GB" w:eastAsia="en-GB" w:bidi="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n-GB" w:eastAsia="en-GB" w:bidi="en-GB"/>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GB" w:eastAsia="en-GB" w:bidi="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n-GB" w:eastAsia="en-GB" w:bidi="en-GB"/>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n-GB" w:eastAsia="en-GB" w:bidi="en-GB"/>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000000" w:themeFill="text1"/>
      </w:tcPr>
    </w:tblStylePr>
    <w:tblStylePr w:type="lastRow">
      <w:pPr>
        <w:spacing w:before="0" w:after="0" w:line="240" w:lineRule="auto"/>
      </w:pPr>
      <w:rPr>
        <w:b/>
        <w:bCs/>
        <w:lang w:val="en-GB" w:eastAsia="en-GB" w:bidi="en-GB"/>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4F81BD" w:themeFill="accent1"/>
      </w:tcPr>
    </w:tblStylePr>
    <w:tblStylePr w:type="lastRow">
      <w:pPr>
        <w:spacing w:before="0" w:after="0" w:line="240" w:lineRule="auto"/>
      </w:pPr>
      <w:rPr>
        <w:b/>
        <w:bCs/>
        <w:lang w:val="en-GB" w:eastAsia="en-GB" w:bidi="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C0504D" w:themeFill="accent2"/>
      </w:tcPr>
    </w:tblStylePr>
    <w:tblStylePr w:type="lastRow">
      <w:pPr>
        <w:spacing w:before="0" w:after="0" w:line="240" w:lineRule="auto"/>
      </w:pPr>
      <w:rPr>
        <w:b/>
        <w:bCs/>
        <w:lang w:val="en-GB" w:eastAsia="en-GB" w:bidi="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9BBB59" w:themeFill="accent3"/>
      </w:tcPr>
    </w:tblStylePr>
    <w:tblStylePr w:type="lastRow">
      <w:pPr>
        <w:spacing w:before="0" w:after="0" w:line="240" w:lineRule="auto"/>
      </w:pPr>
      <w:rPr>
        <w:b/>
        <w:bCs/>
        <w:lang w:val="en-GB" w:eastAsia="en-GB" w:bidi="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8064A2" w:themeFill="accent4"/>
      </w:tcPr>
    </w:tblStylePr>
    <w:tblStylePr w:type="lastRow">
      <w:pPr>
        <w:spacing w:before="0" w:after="0" w:line="240" w:lineRule="auto"/>
      </w:pPr>
      <w:rPr>
        <w:b/>
        <w:bCs/>
        <w:lang w:val="en-GB" w:eastAsia="en-GB" w:bidi="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4BACC6" w:themeFill="accent5"/>
      </w:tcPr>
    </w:tblStylePr>
    <w:tblStylePr w:type="lastRow">
      <w:pPr>
        <w:spacing w:before="0" w:after="0" w:line="240" w:lineRule="auto"/>
      </w:pPr>
      <w:rPr>
        <w:b/>
        <w:bCs/>
        <w:lang w:val="en-GB" w:eastAsia="en-GB" w:bidi="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shd w:val="clear" w:color="auto" w:fill="F79646" w:themeFill="accent6"/>
      </w:tcPr>
    </w:tblStylePr>
    <w:tblStylePr w:type="lastRow">
      <w:pPr>
        <w:spacing w:before="0" w:after="0" w:line="240" w:lineRule="auto"/>
      </w:pPr>
      <w:rPr>
        <w:b/>
        <w:bCs/>
        <w:lang w:val="en-GB" w:eastAsia="en-GB" w:bidi="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n-GB" w:eastAsia="en-GB" w:bidi="en-GB"/>
      </w:rPr>
    </w:tblStylePr>
    <w:tblStylePr w:type="lastCol">
      <w:rPr>
        <w:b/>
        <w:bCs/>
        <w:lang w:val="en-GB" w:eastAsia="en-GB" w:bidi="en-GB"/>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n-GB" w:eastAsia="en-GB" w:bidi="en-GB"/>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n-GB" w:eastAsia="en-GB" w:bidi="en-GB"/>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n-GB" w:eastAsia="en-GB" w:bidi="en-GB"/>
      </w:rPr>
    </w:tblStylePr>
    <w:tblStylePr w:type="lastCol">
      <w:rPr>
        <w:rFonts w:asciiTheme="majorHAnsi" w:eastAsiaTheme="majorEastAsia" w:hAnsiTheme="majorHAnsi" w:cstheme="majorBidi"/>
        <w:b/>
        <w:bCs/>
        <w:lang w:val="en-GB" w:eastAsia="en-GB" w:bidi="en-GB"/>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n-GB" w:eastAsia="en-GB" w:bidi="en-GB"/>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n-GB" w:eastAsia="en-GB" w:bidi="en-GB"/>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n-GB" w:eastAsia="en-GB" w:bidi="en-GB"/>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n-GB" w:eastAsia="en-GB" w:bidi="en-GB"/>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n-GB" w:eastAsia="en-GB" w:bidi="en-GB"/>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n-GB" w:eastAsia="en-GB" w:bidi="en-GB"/>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n-GB" w:eastAsia="en-GB" w:bidi="en-GB"/>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n-GB" w:eastAsia="en-GB" w:bidi="en-GB"/>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n-GB" w:eastAsia="en-GB" w:bidi="en-GB"/>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n-GB" w:eastAsia="en-GB" w:bidi="en-GB"/>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n-GB" w:eastAsia="en-GB" w:bidi="en-GB"/>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n-GB" w:eastAsia="en-GB" w:bidi="en-GB"/>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n-GB" w:eastAsia="en-GB" w:bidi="en-GB"/>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n-GB" w:eastAsia="en-GB" w:bidi="en-GB"/>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n-GB" w:eastAsia="en-GB" w:bidi="en-GB"/>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n-GB" w:eastAsia="en-GB" w:bidi="en-GB"/>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n-GB" w:eastAsia="en-GB" w:bidi="en-GB"/>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n-GB" w:eastAsia="en-GB" w:bidi="en-GB"/>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000000" w:themeColor="text1"/>
        </w:tcBorders>
      </w:tcPr>
    </w:tblStylePr>
    <w:tblStylePr w:type="lastRow">
      <w:rPr>
        <w:b/>
        <w:bCs/>
        <w:color w:val="1F497D" w:themeColor="text2"/>
        <w:lang w:val="en-GB" w:eastAsia="en-GB" w:bidi="en-GB"/>
      </w:rPr>
      <w:tblPr/>
      <w:tcPr>
        <w:tcBorders>
          <w:top w:val="single" w:sz="8" w:space="0" w:color="000000" w:themeColor="text1"/>
          <w:bottom w:val="single" w:sz="8" w:space="0" w:color="000000" w:themeColor="text1"/>
        </w:tcBorders>
      </w:tcPr>
    </w:tblStylePr>
    <w:tblStylePr w:type="firstCol">
      <w:rPr>
        <w:b/>
        <w:bCs/>
        <w:lang w:val="en-GB" w:eastAsia="en-GB" w:bidi="en-GB"/>
      </w:rPr>
    </w:tblStylePr>
    <w:tblStylePr w:type="lastCol">
      <w:rPr>
        <w:b/>
        <w:bCs/>
        <w:lang w:val="en-GB" w:eastAsia="en-GB" w:bidi="en-GB"/>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4F81BD" w:themeColor="accent1"/>
        </w:tcBorders>
      </w:tcPr>
    </w:tblStylePr>
    <w:tblStylePr w:type="lastRow">
      <w:rPr>
        <w:b/>
        <w:bCs/>
        <w:color w:val="1F497D" w:themeColor="text2"/>
        <w:lang w:val="en-GB" w:eastAsia="en-GB" w:bidi="en-GB"/>
      </w:rPr>
      <w:tblPr/>
      <w:tcPr>
        <w:tcBorders>
          <w:top w:val="single" w:sz="8" w:space="0" w:color="4F81BD" w:themeColor="accent1"/>
          <w:bottom w:val="single" w:sz="8" w:space="0" w:color="4F81BD" w:themeColor="accent1"/>
        </w:tcBorders>
      </w:tcPr>
    </w:tblStylePr>
    <w:tblStylePr w:type="firstCol">
      <w:rPr>
        <w:b/>
        <w:bCs/>
        <w:lang w:val="en-GB" w:eastAsia="en-GB" w:bidi="en-GB"/>
      </w:rPr>
    </w:tblStylePr>
    <w:tblStylePr w:type="lastCol">
      <w:rPr>
        <w:b/>
        <w:bCs/>
        <w:lang w:val="en-GB" w:eastAsia="en-GB" w:bidi="en-GB"/>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C0504D" w:themeColor="accent2"/>
        </w:tcBorders>
      </w:tcPr>
    </w:tblStylePr>
    <w:tblStylePr w:type="lastRow">
      <w:rPr>
        <w:b/>
        <w:bCs/>
        <w:color w:val="1F497D" w:themeColor="text2"/>
        <w:lang w:val="en-GB" w:eastAsia="en-GB" w:bidi="en-GB"/>
      </w:rPr>
      <w:tblPr/>
      <w:tcPr>
        <w:tcBorders>
          <w:top w:val="single" w:sz="8" w:space="0" w:color="C0504D" w:themeColor="accent2"/>
          <w:bottom w:val="single" w:sz="8" w:space="0" w:color="C0504D" w:themeColor="accent2"/>
        </w:tcBorders>
      </w:tcPr>
    </w:tblStylePr>
    <w:tblStylePr w:type="firstCol">
      <w:rPr>
        <w:b/>
        <w:bCs/>
        <w:lang w:val="en-GB" w:eastAsia="en-GB" w:bidi="en-GB"/>
      </w:rPr>
    </w:tblStylePr>
    <w:tblStylePr w:type="lastCol">
      <w:rPr>
        <w:b/>
        <w:bCs/>
        <w:lang w:val="en-GB" w:eastAsia="en-GB" w:bidi="en-GB"/>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9BBB59" w:themeColor="accent3"/>
        </w:tcBorders>
      </w:tcPr>
    </w:tblStylePr>
    <w:tblStylePr w:type="lastRow">
      <w:rPr>
        <w:b/>
        <w:bCs/>
        <w:color w:val="1F497D" w:themeColor="text2"/>
        <w:lang w:val="en-GB" w:eastAsia="en-GB" w:bidi="en-GB"/>
      </w:rPr>
      <w:tblPr/>
      <w:tcPr>
        <w:tcBorders>
          <w:top w:val="single" w:sz="8" w:space="0" w:color="9BBB59" w:themeColor="accent3"/>
          <w:bottom w:val="single" w:sz="8" w:space="0" w:color="9BBB59" w:themeColor="accent3"/>
        </w:tcBorders>
      </w:tcPr>
    </w:tblStylePr>
    <w:tblStylePr w:type="firstCol">
      <w:rPr>
        <w:b/>
        <w:bCs/>
        <w:lang w:val="en-GB" w:eastAsia="en-GB" w:bidi="en-GB"/>
      </w:rPr>
    </w:tblStylePr>
    <w:tblStylePr w:type="lastCol">
      <w:rPr>
        <w:b/>
        <w:bCs/>
        <w:lang w:val="en-GB" w:eastAsia="en-GB" w:bidi="en-GB"/>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8064A2" w:themeColor="accent4"/>
        </w:tcBorders>
      </w:tcPr>
    </w:tblStylePr>
    <w:tblStylePr w:type="lastRow">
      <w:rPr>
        <w:b/>
        <w:bCs/>
        <w:color w:val="1F497D" w:themeColor="text2"/>
        <w:lang w:val="en-GB" w:eastAsia="en-GB" w:bidi="en-GB"/>
      </w:rPr>
      <w:tblPr/>
      <w:tcPr>
        <w:tcBorders>
          <w:top w:val="single" w:sz="8" w:space="0" w:color="8064A2" w:themeColor="accent4"/>
          <w:bottom w:val="single" w:sz="8" w:space="0" w:color="8064A2" w:themeColor="accent4"/>
        </w:tcBorders>
      </w:tcPr>
    </w:tblStylePr>
    <w:tblStylePr w:type="firstCol">
      <w:rPr>
        <w:b/>
        <w:bCs/>
        <w:lang w:val="en-GB" w:eastAsia="en-GB" w:bidi="en-GB"/>
      </w:rPr>
    </w:tblStylePr>
    <w:tblStylePr w:type="lastCol">
      <w:rPr>
        <w:b/>
        <w:bCs/>
        <w:lang w:val="en-GB" w:eastAsia="en-GB" w:bidi="en-GB"/>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4BACC6" w:themeColor="accent5"/>
        </w:tcBorders>
      </w:tcPr>
    </w:tblStylePr>
    <w:tblStylePr w:type="lastRow">
      <w:rPr>
        <w:b/>
        <w:bCs/>
        <w:color w:val="1F497D" w:themeColor="text2"/>
        <w:lang w:val="en-GB" w:eastAsia="en-GB" w:bidi="en-GB"/>
      </w:rPr>
      <w:tblPr/>
      <w:tcPr>
        <w:tcBorders>
          <w:top w:val="single" w:sz="8" w:space="0" w:color="4BACC6" w:themeColor="accent5"/>
          <w:bottom w:val="single" w:sz="8" w:space="0" w:color="4BACC6" w:themeColor="accent5"/>
        </w:tcBorders>
      </w:tcPr>
    </w:tblStylePr>
    <w:tblStylePr w:type="firstCol">
      <w:rPr>
        <w:b/>
        <w:bCs/>
        <w:lang w:val="en-GB" w:eastAsia="en-GB" w:bidi="en-GB"/>
      </w:rPr>
    </w:tblStylePr>
    <w:tblStylePr w:type="lastCol">
      <w:rPr>
        <w:b/>
        <w:bCs/>
        <w:lang w:val="en-GB" w:eastAsia="en-GB" w:bidi="en-GB"/>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GB" w:eastAsia="en-GB" w:bidi="en-G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n-GB" w:eastAsia="en-GB" w:bidi="en-GB"/>
      </w:rPr>
      <w:tblPr/>
      <w:tcPr>
        <w:tcBorders>
          <w:top w:val="nil"/>
          <w:bottom w:val="single" w:sz="8" w:space="0" w:color="F79646" w:themeColor="accent6"/>
        </w:tcBorders>
      </w:tcPr>
    </w:tblStylePr>
    <w:tblStylePr w:type="lastRow">
      <w:rPr>
        <w:b/>
        <w:bCs/>
        <w:color w:val="1F497D" w:themeColor="text2"/>
        <w:lang w:val="en-GB" w:eastAsia="en-GB" w:bidi="en-GB"/>
      </w:rPr>
      <w:tblPr/>
      <w:tcPr>
        <w:tcBorders>
          <w:top w:val="single" w:sz="8" w:space="0" w:color="F79646" w:themeColor="accent6"/>
          <w:bottom w:val="single" w:sz="8" w:space="0" w:color="F79646" w:themeColor="accent6"/>
        </w:tcBorders>
      </w:tcPr>
    </w:tblStylePr>
    <w:tblStylePr w:type="firstCol">
      <w:rPr>
        <w:b/>
        <w:bCs/>
        <w:lang w:val="en-GB" w:eastAsia="en-GB" w:bidi="en-GB"/>
      </w:rPr>
    </w:tblStylePr>
    <w:tblStylePr w:type="lastCol">
      <w:rPr>
        <w:b/>
        <w:bCs/>
        <w:lang w:val="en-GB" w:eastAsia="en-GB" w:bidi="en-GB"/>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n-GB" w:eastAsia="en-GB" w:bidi="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n-GB" w:eastAsia="en-GB" w:bidi="en-GB"/>
      </w:rPr>
    </w:tblStylePr>
    <w:tblStylePr w:type="lastRow">
      <w:rPr>
        <w:b/>
        <w:bCs/>
        <w:lang w:val="en-GB" w:eastAsia="en-GB" w:bidi="en-GB"/>
      </w:rPr>
      <w:tblPr/>
      <w:tcPr>
        <w:tcBorders>
          <w:top w:val="single" w:sz="18" w:space="0" w:color="404040" w:themeColor="text1"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n-GB" w:eastAsia="en-GB" w:bidi="en-GB"/>
      </w:rPr>
    </w:tblStylePr>
    <w:tblStylePr w:type="lastRow">
      <w:rPr>
        <w:b/>
        <w:bCs/>
        <w:lang w:val="en-GB" w:eastAsia="en-GB" w:bidi="en-GB"/>
      </w:rPr>
      <w:tblPr/>
      <w:tcPr>
        <w:tcBorders>
          <w:top w:val="single" w:sz="18" w:space="0" w:color="7BA0CD" w:themeColor="accent1"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n-GB" w:eastAsia="en-GB" w:bidi="en-GB"/>
      </w:rPr>
    </w:tblStylePr>
    <w:tblStylePr w:type="lastRow">
      <w:rPr>
        <w:b/>
        <w:bCs/>
        <w:lang w:val="en-GB" w:eastAsia="en-GB" w:bidi="en-GB"/>
      </w:rPr>
      <w:tblPr/>
      <w:tcPr>
        <w:tcBorders>
          <w:top w:val="single" w:sz="18" w:space="0" w:color="CF7B79" w:themeColor="accent2"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n-GB" w:eastAsia="en-GB" w:bidi="en-GB"/>
      </w:rPr>
    </w:tblStylePr>
    <w:tblStylePr w:type="lastRow">
      <w:rPr>
        <w:b/>
        <w:bCs/>
        <w:lang w:val="en-GB" w:eastAsia="en-GB" w:bidi="en-GB"/>
      </w:rPr>
      <w:tblPr/>
      <w:tcPr>
        <w:tcBorders>
          <w:top w:val="single" w:sz="18" w:space="0" w:color="B3CC82" w:themeColor="accent3"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n-GB" w:eastAsia="en-GB" w:bidi="en-GB"/>
      </w:rPr>
    </w:tblStylePr>
    <w:tblStylePr w:type="lastRow">
      <w:rPr>
        <w:b/>
        <w:bCs/>
        <w:lang w:val="en-GB" w:eastAsia="en-GB" w:bidi="en-GB"/>
      </w:rPr>
      <w:tblPr/>
      <w:tcPr>
        <w:tcBorders>
          <w:top w:val="single" w:sz="18" w:space="0" w:color="9F8AB9" w:themeColor="accent4"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n-GB" w:eastAsia="en-GB" w:bidi="en-GB"/>
      </w:rPr>
    </w:tblStylePr>
    <w:tblStylePr w:type="lastRow">
      <w:rPr>
        <w:b/>
        <w:bCs/>
        <w:lang w:val="en-GB" w:eastAsia="en-GB" w:bidi="en-GB"/>
      </w:rPr>
      <w:tblPr/>
      <w:tcPr>
        <w:tcBorders>
          <w:top w:val="single" w:sz="18" w:space="0" w:color="78C0D4" w:themeColor="accent5"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n-GB" w:eastAsia="en-GB" w:bidi="en-GB"/>
      </w:rPr>
    </w:tblStylePr>
    <w:tblStylePr w:type="lastRow">
      <w:rPr>
        <w:b/>
        <w:bCs/>
        <w:lang w:val="en-GB" w:eastAsia="en-GB" w:bidi="en-GB"/>
      </w:rPr>
      <w:tblPr/>
      <w:tcPr>
        <w:tcBorders>
          <w:top w:val="single" w:sz="18" w:space="0" w:color="F9B074" w:themeColor="accent6" w:themeTint="BF"/>
        </w:tcBorders>
      </w:tcPr>
    </w:tblStylePr>
    <w:tblStylePr w:type="firstCol">
      <w:rPr>
        <w:b/>
        <w:bCs/>
        <w:lang w:val="en-GB" w:eastAsia="en-GB" w:bidi="en-GB"/>
      </w:rPr>
    </w:tblStylePr>
    <w:tblStylePr w:type="lastCol">
      <w:rPr>
        <w:b/>
        <w:bCs/>
        <w:lang w:val="en-GB" w:eastAsia="en-GB" w:bidi="en-GB"/>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n-GB" w:eastAsia="en-GB" w:bidi="en-GB"/>
      </w:rPr>
      <w:tblPr/>
      <w:tcPr>
        <w:shd w:val="clear" w:color="auto" w:fill="E6E6E6" w:themeFill="text1"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n-GB" w:eastAsia="en-GB" w:bidi="en-GB"/>
      </w:rPr>
      <w:tblPr/>
      <w:tcPr>
        <w:shd w:val="clear" w:color="auto" w:fill="EDF2F8" w:themeFill="accent1"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n-GB" w:eastAsia="en-GB" w:bidi="en-GB"/>
      </w:rPr>
      <w:tblPr/>
      <w:tcPr>
        <w:shd w:val="clear" w:color="auto" w:fill="F8EDED" w:themeFill="accent2"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n-GB" w:eastAsia="en-GB" w:bidi="en-GB"/>
      </w:rPr>
      <w:tblPr/>
      <w:tcPr>
        <w:shd w:val="clear" w:color="auto" w:fill="F5F8EE" w:themeFill="accent3"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n-GB" w:eastAsia="en-GB" w:bidi="en-GB"/>
      </w:rPr>
      <w:tblPr/>
      <w:tcPr>
        <w:shd w:val="clear" w:color="auto" w:fill="F2EFF6" w:themeFill="accent4"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n-GB" w:eastAsia="en-GB" w:bidi="en-GB"/>
      </w:rPr>
      <w:tblPr/>
      <w:tcPr>
        <w:shd w:val="clear" w:color="auto" w:fill="EDF6F9" w:themeFill="accent5"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GB" w:eastAsia="en-GB" w:bidi="en-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n-GB" w:eastAsia="en-GB" w:bidi="en-GB"/>
      </w:rPr>
      <w:tblPr/>
      <w:tcPr>
        <w:shd w:val="clear" w:color="auto" w:fill="FEF4EC" w:themeFill="accent6" w:themeFillTint="19"/>
      </w:tcPr>
    </w:tblStylePr>
    <w:tblStylePr w:type="lastRow">
      <w:rPr>
        <w:b/>
        <w:bCs/>
        <w:color w:val="000000" w:themeColor="text1"/>
        <w:lang w:val="en-GB" w:eastAsia="en-GB" w:bidi="en-GB"/>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n-GB" w:eastAsia="en-GB" w:bidi="en-GB"/>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n-GB" w:eastAsia="en-GB" w:bidi="en-GB"/>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n-GB" w:eastAsia="en-GB" w:bidi="en-GB"/>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n-GB" w:eastAsia="en-GB" w:bidi="en-GB"/>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n-GB" w:eastAsia="en-GB" w:bidi="en-GB"/>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n-GB" w:eastAsia="en-GB" w:bidi="en-GB"/>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GB" w:eastAsia="en-GB" w:bidi="en-G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n-GB" w:eastAsia="en-GB" w:bidi="en-GB"/>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000000" w:themeFill="text1" w:themeFillShade="99"/>
      </w:tcPr>
    </w:tblStylePr>
    <w:tblStylePr w:type="firstCol">
      <w:rPr>
        <w:color w:val="FFFFFF" w:themeColor="background1"/>
        <w:lang w:val="en-GB" w:eastAsia="en-GB" w:bidi="en-GB"/>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1">
    <w:name w:val="Colorful Shading Accent 1"/>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n-GB" w:eastAsia="en-GB" w:bidi="en-GB"/>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2">
    <w:name w:val="Colorful Shading Accent 2"/>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n-GB" w:eastAsia="en-GB" w:bidi="en-GB"/>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n-GB" w:eastAsia="en-GB" w:bidi="en-GB"/>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3">
    <w:name w:val="Colorful Shading Accent 3"/>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n-GB" w:eastAsia="en-GB" w:bidi="en-GB"/>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n-GB" w:eastAsia="en-GB" w:bidi="en-GB"/>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n-GB" w:eastAsia="en-GB" w:bidi="en-GB"/>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n-GB" w:eastAsia="en-GB" w:bidi="en-GB"/>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5">
    <w:name w:val="Colorful Shading Accent 5"/>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n-GB" w:eastAsia="en-GB" w:bidi="en-GB"/>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n-GB" w:eastAsia="en-GB" w:bidi="en-GB"/>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Shading-Accent6">
    <w:name w:val="Colorful Shading Accent 6"/>
    <w:basedOn w:val="TableNormal"/>
    <w:uiPriority w:val="71"/>
    <w:rsid w:val="00CB0664"/>
    <w:pPr>
      <w:spacing w:after="0" w:line="240" w:lineRule="auto"/>
    </w:pPr>
    <w:rPr>
      <w:color w:val="000000" w:themeColor="text1"/>
      <w:lang w:val="en-GB" w:eastAsia="en-GB" w:bidi="en-GB"/>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n-GB" w:eastAsia="en-GB" w:bidi="en-GB"/>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n-GB" w:eastAsia="en-GB" w:bidi="en-GB"/>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n-GB" w:eastAsia="en-GB" w:bidi="en-GB"/>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n-GB" w:eastAsia="en-GB" w:bidi="en-GB"/>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n-GB" w:eastAsia="en-GB" w:bidi="en-GB"/>
      </w:rPr>
    </w:tblStylePr>
    <w:tblStylePr w:type="nwCell">
      <w:rPr>
        <w:color w:val="000000" w:themeColor="text1"/>
        <w:lang w:val="en-GB" w:eastAsia="en-GB" w:bidi="en-GB"/>
      </w:rPr>
    </w:tblStylePr>
  </w:style>
  <w:style w:type="table" w:styleId="ColorfulList">
    <w:name w:val="Colorful List"/>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GB" w:eastAsia="en-GB" w:bidi="en-GB"/>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n-GB" w:eastAsia="en-GB" w:bidi="en-GB"/>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n-GB" w:eastAsia="en-GB" w:bidi="en-GB"/>
      </w:rPr>
      <w:tblPr/>
      <w:tcPr>
        <w:tcBorders>
          <w:top w:val="single" w:sz="12" w:space="0" w:color="000000" w:themeColor="text1"/>
        </w:tcBorders>
        <w:shd w:val="clear" w:color="auto" w:fill="FFFFFF" w:themeFill="background1"/>
      </w:tcPr>
    </w:tblStylePr>
    <w:tblStylePr w:type="firstCol">
      <w:rPr>
        <w:b/>
        <w:bCs/>
        <w:lang w:val="en-GB" w:eastAsia="en-GB" w:bidi="en-GB"/>
      </w:rPr>
    </w:tblStylePr>
    <w:tblStylePr w:type="lastCol">
      <w:rPr>
        <w:b/>
        <w:bCs/>
        <w:lang w:val="en-GB" w:eastAsia="en-GB" w:bidi="en-GB"/>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n-GB" w:eastAsia="en-GB" w:bidi="en-GB"/>
      </w:rPr>
      <w:tblPr/>
      <w:tcPr>
        <w:shd w:val="clear" w:color="auto" w:fill="999999" w:themeFill="text1" w:themeFillTint="66"/>
      </w:tcPr>
    </w:tblStylePr>
    <w:tblStylePr w:type="lastRow">
      <w:rPr>
        <w:b/>
        <w:bCs/>
        <w:color w:val="000000" w:themeColor="text1"/>
        <w:lang w:val="en-GB" w:eastAsia="en-GB" w:bidi="en-GB"/>
      </w:rPr>
      <w:tblPr/>
      <w:tcPr>
        <w:shd w:val="clear" w:color="auto" w:fill="999999" w:themeFill="text1" w:themeFillTint="66"/>
      </w:tcPr>
    </w:tblStylePr>
    <w:tblStylePr w:type="firstCol">
      <w:rPr>
        <w:color w:val="FFFFFF" w:themeColor="background1"/>
        <w:lang w:val="en-GB" w:eastAsia="en-GB" w:bidi="en-GB"/>
      </w:rPr>
      <w:tblPr/>
      <w:tcPr>
        <w:shd w:val="clear" w:color="auto" w:fill="000000" w:themeFill="text1" w:themeFillShade="BF"/>
      </w:tcPr>
    </w:tblStylePr>
    <w:tblStylePr w:type="lastCol">
      <w:rPr>
        <w:color w:val="FFFFFF" w:themeColor="background1"/>
        <w:lang w:val="en-GB" w:eastAsia="en-GB" w:bidi="en-GB"/>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n-GB" w:eastAsia="en-GB" w:bidi="en-GB"/>
      </w:rPr>
      <w:tblPr/>
      <w:tcPr>
        <w:shd w:val="clear" w:color="auto" w:fill="B8CCE4" w:themeFill="accent1" w:themeFillTint="66"/>
      </w:tcPr>
    </w:tblStylePr>
    <w:tblStylePr w:type="lastRow">
      <w:rPr>
        <w:b/>
        <w:bCs/>
        <w:color w:val="000000" w:themeColor="text1"/>
        <w:lang w:val="en-GB" w:eastAsia="en-GB" w:bidi="en-GB"/>
      </w:rPr>
      <w:tblPr/>
      <w:tcPr>
        <w:shd w:val="clear" w:color="auto" w:fill="B8CCE4" w:themeFill="accent1" w:themeFillTint="66"/>
      </w:tcPr>
    </w:tblStylePr>
    <w:tblStylePr w:type="firstCol">
      <w:rPr>
        <w:color w:val="FFFFFF" w:themeColor="background1"/>
        <w:lang w:val="en-GB" w:eastAsia="en-GB" w:bidi="en-GB"/>
      </w:rPr>
      <w:tblPr/>
      <w:tcPr>
        <w:shd w:val="clear" w:color="auto" w:fill="365F91" w:themeFill="accent1" w:themeFillShade="BF"/>
      </w:tcPr>
    </w:tblStylePr>
    <w:tblStylePr w:type="lastCol">
      <w:rPr>
        <w:color w:val="FFFFFF" w:themeColor="background1"/>
        <w:lang w:val="en-GB" w:eastAsia="en-GB" w:bidi="en-GB"/>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n-GB" w:eastAsia="en-GB" w:bidi="en-GB"/>
      </w:rPr>
      <w:tblPr/>
      <w:tcPr>
        <w:shd w:val="clear" w:color="auto" w:fill="E5B8B7" w:themeFill="accent2" w:themeFillTint="66"/>
      </w:tcPr>
    </w:tblStylePr>
    <w:tblStylePr w:type="lastRow">
      <w:rPr>
        <w:b/>
        <w:bCs/>
        <w:color w:val="000000" w:themeColor="text1"/>
        <w:lang w:val="en-GB" w:eastAsia="en-GB" w:bidi="en-GB"/>
      </w:rPr>
      <w:tblPr/>
      <w:tcPr>
        <w:shd w:val="clear" w:color="auto" w:fill="E5B8B7" w:themeFill="accent2" w:themeFillTint="66"/>
      </w:tcPr>
    </w:tblStylePr>
    <w:tblStylePr w:type="firstCol">
      <w:rPr>
        <w:color w:val="FFFFFF" w:themeColor="background1"/>
        <w:lang w:val="en-GB" w:eastAsia="en-GB" w:bidi="en-GB"/>
      </w:rPr>
      <w:tblPr/>
      <w:tcPr>
        <w:shd w:val="clear" w:color="auto" w:fill="943634" w:themeFill="accent2" w:themeFillShade="BF"/>
      </w:tcPr>
    </w:tblStylePr>
    <w:tblStylePr w:type="lastCol">
      <w:rPr>
        <w:color w:val="FFFFFF" w:themeColor="background1"/>
        <w:lang w:val="en-GB" w:eastAsia="en-GB" w:bidi="en-GB"/>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n-GB" w:eastAsia="en-GB" w:bidi="en-GB"/>
      </w:rPr>
      <w:tblPr/>
      <w:tcPr>
        <w:shd w:val="clear" w:color="auto" w:fill="D6E3BC" w:themeFill="accent3" w:themeFillTint="66"/>
      </w:tcPr>
    </w:tblStylePr>
    <w:tblStylePr w:type="lastRow">
      <w:rPr>
        <w:b/>
        <w:bCs/>
        <w:color w:val="000000" w:themeColor="text1"/>
        <w:lang w:val="en-GB" w:eastAsia="en-GB" w:bidi="en-GB"/>
      </w:rPr>
      <w:tblPr/>
      <w:tcPr>
        <w:shd w:val="clear" w:color="auto" w:fill="D6E3BC" w:themeFill="accent3" w:themeFillTint="66"/>
      </w:tcPr>
    </w:tblStylePr>
    <w:tblStylePr w:type="firstCol">
      <w:rPr>
        <w:color w:val="FFFFFF" w:themeColor="background1"/>
        <w:lang w:val="en-GB" w:eastAsia="en-GB" w:bidi="en-GB"/>
      </w:rPr>
      <w:tblPr/>
      <w:tcPr>
        <w:shd w:val="clear" w:color="auto" w:fill="76923C" w:themeFill="accent3" w:themeFillShade="BF"/>
      </w:tcPr>
    </w:tblStylePr>
    <w:tblStylePr w:type="lastCol">
      <w:rPr>
        <w:color w:val="FFFFFF" w:themeColor="background1"/>
        <w:lang w:val="en-GB" w:eastAsia="en-GB" w:bidi="en-GB"/>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n-GB" w:eastAsia="en-GB" w:bidi="en-GB"/>
      </w:rPr>
      <w:tblPr/>
      <w:tcPr>
        <w:shd w:val="clear" w:color="auto" w:fill="CCC0D9" w:themeFill="accent4" w:themeFillTint="66"/>
      </w:tcPr>
    </w:tblStylePr>
    <w:tblStylePr w:type="lastRow">
      <w:rPr>
        <w:b/>
        <w:bCs/>
        <w:color w:val="000000" w:themeColor="text1"/>
        <w:lang w:val="en-GB" w:eastAsia="en-GB" w:bidi="en-GB"/>
      </w:rPr>
      <w:tblPr/>
      <w:tcPr>
        <w:shd w:val="clear" w:color="auto" w:fill="CCC0D9" w:themeFill="accent4" w:themeFillTint="66"/>
      </w:tcPr>
    </w:tblStylePr>
    <w:tblStylePr w:type="firstCol">
      <w:rPr>
        <w:color w:val="FFFFFF" w:themeColor="background1"/>
        <w:lang w:val="en-GB" w:eastAsia="en-GB" w:bidi="en-GB"/>
      </w:rPr>
      <w:tblPr/>
      <w:tcPr>
        <w:shd w:val="clear" w:color="auto" w:fill="5F497A" w:themeFill="accent4" w:themeFillShade="BF"/>
      </w:tcPr>
    </w:tblStylePr>
    <w:tblStylePr w:type="lastCol">
      <w:rPr>
        <w:color w:val="FFFFFF" w:themeColor="background1"/>
        <w:lang w:val="en-GB" w:eastAsia="en-GB" w:bidi="en-GB"/>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n-GB" w:eastAsia="en-GB" w:bidi="en-GB"/>
      </w:rPr>
      <w:tblPr/>
      <w:tcPr>
        <w:shd w:val="clear" w:color="auto" w:fill="B6DDE8" w:themeFill="accent5" w:themeFillTint="66"/>
      </w:tcPr>
    </w:tblStylePr>
    <w:tblStylePr w:type="lastRow">
      <w:rPr>
        <w:b/>
        <w:bCs/>
        <w:color w:val="000000" w:themeColor="text1"/>
        <w:lang w:val="en-GB" w:eastAsia="en-GB" w:bidi="en-GB"/>
      </w:rPr>
      <w:tblPr/>
      <w:tcPr>
        <w:shd w:val="clear" w:color="auto" w:fill="B6DDE8" w:themeFill="accent5" w:themeFillTint="66"/>
      </w:tcPr>
    </w:tblStylePr>
    <w:tblStylePr w:type="firstCol">
      <w:rPr>
        <w:color w:val="FFFFFF" w:themeColor="background1"/>
        <w:lang w:val="en-GB" w:eastAsia="en-GB" w:bidi="en-GB"/>
      </w:rPr>
      <w:tblPr/>
      <w:tcPr>
        <w:shd w:val="clear" w:color="auto" w:fill="31849B" w:themeFill="accent5" w:themeFillShade="BF"/>
      </w:tcPr>
    </w:tblStylePr>
    <w:tblStylePr w:type="lastCol">
      <w:rPr>
        <w:color w:val="FFFFFF" w:themeColor="background1"/>
        <w:lang w:val="en-GB" w:eastAsia="en-GB" w:bidi="en-GB"/>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GB" w:eastAsia="en-GB" w:bidi="en-GB"/>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n-GB" w:eastAsia="en-GB" w:bidi="en-GB"/>
      </w:rPr>
      <w:tblPr/>
      <w:tcPr>
        <w:shd w:val="clear" w:color="auto" w:fill="FBD4B4" w:themeFill="accent6" w:themeFillTint="66"/>
      </w:tcPr>
    </w:tblStylePr>
    <w:tblStylePr w:type="lastRow">
      <w:rPr>
        <w:b/>
        <w:bCs/>
        <w:color w:val="000000" w:themeColor="text1"/>
        <w:lang w:val="en-GB" w:eastAsia="en-GB" w:bidi="en-GB"/>
      </w:rPr>
      <w:tblPr/>
      <w:tcPr>
        <w:shd w:val="clear" w:color="auto" w:fill="FBD4B4" w:themeFill="accent6" w:themeFillTint="66"/>
      </w:tcPr>
    </w:tblStylePr>
    <w:tblStylePr w:type="firstCol">
      <w:rPr>
        <w:color w:val="FFFFFF" w:themeColor="background1"/>
        <w:lang w:val="en-GB" w:eastAsia="en-GB" w:bidi="en-GB"/>
      </w:rPr>
      <w:tblPr/>
      <w:tcPr>
        <w:shd w:val="clear" w:color="auto" w:fill="E36C0A" w:themeFill="accent6" w:themeFillShade="BF"/>
      </w:tcPr>
    </w:tblStylePr>
    <w:tblStylePr w:type="lastCol">
      <w:rPr>
        <w:color w:val="FFFFFF" w:themeColor="background1"/>
        <w:lang w:val="en-GB" w:eastAsia="en-GB" w:bidi="en-GB"/>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7.xml"/><Relationship Id="rId2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HeadingPairs>
    <vt:vector size="2" baseType="variant">
      <vt:variant>
        <vt:lpstr>Title</vt:lpstr>
      </vt:variant>
      <vt:variant>
        <vt:i4>1</vt:i4>
      </vt:variant>
    </vt:vector>
  </HeadingPairs>
  <TitlesOfParts>
    <vt:vector size="1" baseType="lpstr">
      <vt:lpstr/>
    </vt:vector>
  </TitlesOfParts>
  <Manager/>
  <Company>Made by Matt</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Amylase Rate, Graph and Topic 1 Consolidation</dc:title>
  <dc:subject>Science · Autumn 1 · Week 8</dc:subject>
  <dc:creator>Matt Roper</dc:creator>
  <cp:keywords>Science, book-first, LAUNCH</cp:keywords>
  <dc:description/>
  <cp:lastModifiedBy>Matt Roper</cp:lastModifiedBy>
  <cp:revision>1</cp:revision>
  <dcterms:created xsi:type="dcterms:W3CDTF">2026-09-26T00:00:00Z</dcterms:created>
  <dcterms:modified xsi:type="dcterms:W3CDTF">2026-09-26T00:00:00Z</dcterms:modified>
  <cp:category>Lesson resources</cp:category>
  <dc:identifier>SCI_LAUNCH_A1_W08_L3</dc:identifier>
</cp:coreProperties>
</file>