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Teacher and cover planner</w:t>
      </w:r>
    </w:p>
    <w:p>
      <w:r>
        <w:rPr>
          <w:b/>
        </w:rPr>
        <w:t>Healthy choices and everyday risks</w:t>
      </w:r>
    </w:p>
    <w:p>
      <w:r>
        <w:rPr>
          <w:b w:val="0"/>
        </w:rPr>
        <w:t>Tuesday 3–Friday 6 November 2026 · one 40-minute lesson</w:t>
      </w:r>
    </w:p>
    <w:p>
      <w:r>
        <w:rPr>
          <w:b w:val="0"/>
        </w:rPr>
        <w:t>Teaching date: __________________   Teacher: __________________</w:t>
      </w:r>
    </w:p>
    <w:p>
      <w:pPr>
        <w:pStyle w:val="Heading1"/>
      </w:pPr>
      <w:r>
        <w:rPr>
          <w:b w:val="0"/>
        </w:rPr>
        <w:t>Exact scheme cells</w:t>
      </w:r>
    </w:p>
    <w:p>
      <w:r>
        <w:rPr>
          <w:b w:val="0"/>
        </w:rPr>
        <w:t>GROW Weekly - Autumn!C81</w:t>
        <w:br/>
        <w:t>Identify healthy choices and everyday risks.</w:t>
      </w:r>
    </w:p>
    <w:p>
      <w:r>
        <w:rPr>
          <w:b w:val="0"/>
        </w:rPr>
        <w:t>GROW - Autumn!D13</w:t>
        <w:br/>
        <w:t>Keeping safe, healthy &amp; well</w:t>
      </w:r>
    </w:p>
    <w:p>
      <w:r>
        <w:rPr>
          <w:b w:val="0"/>
        </w:rPr>
        <w:t>GROW - Autumn!I13</w:t>
        <w:br/>
        <w:t>PSHE Association programme of study; [AWARD] [QUAL], '[QUAL]', '[QUAL]'.</w:t>
      </w:r>
    </w:p>
    <w:p>
      <w:r>
        <w:rPr>
          <w:b w:val="0"/>
        </w:rPr>
        <w:t>GROW - Autumn!J13</w:t>
        <w:br/>
        <w:t>F: scenario sorting.  S: 'my trusted network' + safe/unsafe task (Dec).</w:t>
      </w:r>
    </w:p>
    <w:p>
      <w:r>
        <w:rPr>
          <w:b w:val="0"/>
        </w:rPr>
        <w:t>Public award labels are masked. The assessment cell still places the trusted-network and safe/unsafe task in December. Today supplies formative scenario evidence; it does not complete the unit or claim an award.</w:t>
      </w:r>
    </w:p>
    <w:p>
      <w:pPr>
        <w:pStyle w:val="Heading1"/>
      </w:pPr>
      <w:r>
        <w:rPr>
          <w:b w:val="0"/>
        </w:rPr>
        <w:t>Purpose and success checks</w:t>
      </w:r>
    </w:p>
    <w:p>
      <w:r>
        <w:rPr>
          <w:b w:val="0"/>
        </w:rPr>
        <w:t>What could help us stay well and safe?</w:t>
      </w:r>
    </w:p>
    <w:p>
      <w:r>
        <w:rPr>
          <w:b w:val="0"/>
        </w:rPr>
        <w:t>I can name a choice that helps us stay well. I can spot a clue to a risk. I can choose a safer next step.</w:t>
      </w:r>
    </w:p>
    <w:p>
      <w:r>
        <w:rPr>
          <w:b w:val="0"/>
        </w:rPr>
        <w:t>GROW-PSHE-W1-E1: individual scenario choice, clue, reason and safer next step, with a short check after feedback. Accept pointing, speech, drawing or writing; scribe only the learner’s own response.</w:t>
      </w:r>
    </w:p>
    <w:p>
      <w:pPr>
        <w:pStyle w:val="Heading1"/>
      </w:pPr>
      <w:r>
        <w:rPr>
          <w:b w:val="0"/>
        </w:rPr>
        <w:t>Before pupils arrive</w:t>
      </w:r>
    </w:p>
    <w:p>
      <w:r>
        <w:rPr>
          <w:b w:val="0"/>
        </w:rPr>
        <w:t>Prepare the deck, one Evidence Sheet and Vocabulary Mat per learner, and one set of Support Cards. The Support Cards contain the six cases, sort labels, a picture prompt and a private-help card. Have pens and a timer ready. No food tasting, risky action, live messages, log-ins or web searches are required.</w:t>
      </w:r>
    </w:p>
    <w:p>
      <w:r>
        <w:rPr>
          <w:b w:val="0"/>
        </w:rPr>
        <w:t>Identify the staff member and agreed place for private help before teaching. Read the Staff Answers and local safeguarding route. Check the room route is clear. Offer a quiet seat and a supported movement break. Keep the vocabulary mat in view.</w:t>
      </w:r>
    </w:p>
    <w:p>
      <w:pPr>
        <w:pStyle w:val="Heading1"/>
      </w:pPr>
      <w:r>
        <w:rPr>
          <w:b w:val="0"/>
        </w:rPr>
        <w:t>Calendar</w:t>
      </w:r>
    </w:p>
    <w:p>
      <w:r>
        <w:rPr>
          <w:b w:val="0"/>
        </w:rPr>
        <w:t>Week 1 starts Tuesday 3 November because Monday 2 November is a training day. The owner supplied a week range, not a lesson day or clock time. Enter the actual teaching date above. The later Week 5 calendar correction is outside this piece.</w:t>
      </w:r>
    </w:p>
    <w:p>
      <w:r>
        <w:br w:type="page"/>
      </w:r>
    </w:p>
    <w:p>
      <w:pPr>
        <w:pStyle w:val="Heading1"/>
      </w:pPr>
      <w:r>
        <w:rPr>
          <w:b w:val="0"/>
        </w:rPr>
        <w:t>Forty minute sequence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648"/>
        <w:gridCol w:w="8352"/>
      </w:tblGrid>
      <w:tr>
        <w:trPr>
          <w:tblHeader/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/>
                <w:sz w:val="20"/>
              </w:rPr>
              <w:t>Slide</w:t>
            </w:r>
          </w:p>
        </w:tc>
        <w:tc>
          <w:tcPr>
            <w:tcW w:type="dxa" w:w="648"/>
          </w:tcPr>
          <w:p>
            <w:pPr>
              <w:spacing w:after="80" w:before="60"/>
            </w:pPr>
            <w:r>
              <w:rPr>
                <w:b/>
                <w:sz w:val="20"/>
              </w:rPr>
              <w:t>Min</w:t>
            </w:r>
          </w:p>
        </w:tc>
        <w:tc>
          <w:tcPr>
            <w:tcW w:type="dxa" w:w="8352"/>
          </w:tcPr>
          <w:p>
            <w:pPr>
              <w:spacing w:after="80" w:before="60"/>
            </w:pPr>
            <w:r>
              <w:rPr>
                <w:b/>
                <w:sz w:val="20"/>
              </w:rPr>
              <w:t>Action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648"/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8352"/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Open title and big question before timing.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648"/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8352"/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Private check-in. Choose quiet start, water, seated stretch or adult help. Read the right-to-pass rule.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648"/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8352"/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Use the picture prompt. Point to one clue and hear a possible next step.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648"/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8352"/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Read the exact objective and the three I can checks.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648"/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8352"/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Think aloud through the model. Separate the clue from a guess.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648"/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8352"/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Read the hinge. Pupils point, say or write A, B or C and a reason.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648"/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8352"/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Sort fictional cases. Use the route that fits current access needs.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648"/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8352"/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Complete the individual Evidence Sheet. Adult records actual support.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648"/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8352"/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Check evidence, put cards away and choose one next step.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648"/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8352"/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Hear a short response to the exit questions.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648"/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8352"/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Keep the vocabulary mat available throughout.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648"/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8352"/>
          </w:tcPr>
          <w:p>
            <w:pPr>
              <w:spacing w:after="80" w:before="60"/>
            </w:pPr>
            <w:r>
              <w:rPr>
                <w:b w:val="0"/>
                <w:sz w:val="20"/>
              </w:rPr>
              <w:t>Hidden reference for adults.</w:t>
            </w:r>
          </w:p>
        </w:tc>
      </w:tr>
    </w:tbl>
    <w:p>
      <w:pPr>
        <w:pStyle w:val="Heading1"/>
      </w:pPr>
      <w:r>
        <w:rPr>
          <w:b w:val="0"/>
        </w:rPr>
        <w:t>Hinge and reteach</w:t>
      </w:r>
    </w:p>
    <w:p>
      <w:r>
        <w:rPr>
          <w:b w:val="0"/>
        </w:rPr>
        <w:t>B. The wet floor could cause a slip. Keeping clear and telling the adult reduces the risk. A and C add to it. If a response misses the risk, return to the visible clue, model the safer step and use one new case before individual capture. A correct letter without a reason is not enough to check understanding.</w:t>
      </w:r>
    </w:p>
    <w:p>
      <w:pPr>
        <w:pStyle w:val="Heading1"/>
      </w:pPr>
      <w:r>
        <w:rPr>
          <w:b w:val="0"/>
        </w:rPr>
        <w:t>Access routes</w:t>
      </w:r>
    </w:p>
    <w:p>
      <w:r>
        <w:rPr>
          <w:b w:val="0"/>
        </w:rPr>
        <w:t>Supported: begin with two cases read aloud. Point to a sort label and clue; tell or draw one next step. Independent: sort all six, then explain one choice on the Evidence Sheet. Aspire: sort all six and show how one missing fact could change a judgement. The adult may read or scribe without supplying the reason.</w:t>
      </w:r>
    </w:p>
    <w:p>
      <w:r>
        <w:rPr>
          <w:b w:val="0"/>
        </w:rPr>
        <w:t>There is no forced pair work, personal disclosure, cold calling or public performance. Allow processing time, a quiet adult response and an option to pass. After a pass, offer an alternative fictional case privately; do not infer attainment from silence.</w:t>
      </w:r>
    </w:p>
    <w:p>
      <w:r>
        <w:br w:type="page"/>
      </w:r>
    </w:p>
    <w:p>
      <w:pPr>
        <w:pStyle w:val="Heading1"/>
      </w:pPr>
      <w:r>
        <w:rPr>
          <w:b w:val="0"/>
        </w:rPr>
        <w:t>Safety evidence and learner voice</w:t>
      </w:r>
    </w:p>
    <w:p>
      <w:pPr>
        <w:pStyle w:val="Heading1"/>
      </w:pPr>
      <w:r>
        <w:rPr>
          <w:b w:val="0"/>
        </w:rPr>
        <w:t>Safe discussion and private help</w:t>
      </w:r>
    </w:p>
    <w:p>
      <w:r>
        <w:rPr>
          <w:b w:val="0"/>
        </w:rPr>
        <w:t>Keep all examples fictional. Do not ask pupils to describe home routines, health conditions, private messages or past harm. Use respectful language about food, bodies, disability and family circumstances. A behaviour can be unsafe even when the person is familiar. Avoid judging safety from appearance.</w:t>
      </w:r>
    </w:p>
    <w:p>
      <w:r>
        <w:rPr>
          <w:b w:val="0"/>
        </w:rPr>
        <w:t>Offer the phrase “Can I speak to you in private?” If a concern is raised, listen calmly, avoid investigating in class and follow the setting’s safeguarding procedure. Never promise secrecy. Explain that a relevant adult may need to help. Keep safeguarding records separate from the lesson evidence. If a learner is not heard, help them reach another trusted adult.</w:t>
      </w:r>
    </w:p>
    <w:p>
      <w:pPr>
        <w:pStyle w:val="Heading1"/>
      </w:pPr>
      <w:r>
        <w:rPr>
          <w:b w:val="0"/>
        </w:rPr>
        <w:t>Assessment and feedback</w:t>
      </w:r>
    </w:p>
    <w:p>
      <w:r>
        <w:rPr>
          <w:b w:val="0"/>
        </w:rPr>
        <w:t>Check the clue, judgement, reason and next step against the Staff Answers. Accept a different judgement where the learner gives a valid reason and identifies what must be checked. “Safer” means reduced risk, not a guarantee. Record the case ID, actual words/actions, response mode, support and feedback. A copied model or blank form is not completed evidence.</w:t>
      </w:r>
    </w:p>
    <w:p>
      <w:r>
        <w:rPr>
          <w:b w:val="0"/>
        </w:rPr>
        <w:t>Use the established marking codes VF, WS, I, NS, +, //, ?, R and E as appropriate. Retain the learner’s response after feedback. R records voice, audience, next step and the learner’s own response; it is not an assumed success judgement.</w:t>
      </w:r>
    </w:p>
    <w:p>
      <w:pPr>
        <w:pStyle w:val="Heading1"/>
      </w:pPr>
      <w:r>
        <w:rPr>
          <w:b w:val="0"/>
        </w:rPr>
        <w:t>Lundy moments</w:t>
      </w:r>
    </w:p>
    <w:p>
      <w:r>
        <w:rPr>
          <w:b w:val="0"/>
        </w:rPr>
        <w:t>Space: quiet, non-personal ways to respond. Voice: the learner chooses the case and explains their own view. Audience: the teaching adult hears or reads the response and replies. Influence: record the learner’s requested support or next practice step and how the next task changes.</w:t>
      </w:r>
    </w:p>
    <w:p>
      <w:pPr>
        <w:pStyle w:val="Heading1"/>
      </w:pPr>
      <w:r>
        <w:rPr>
          <w:b w:val="0"/>
        </w:rPr>
        <w:t>Speaking listening and writing</w:t>
      </w:r>
    </w:p>
    <w:p>
      <w:r>
        <w:rPr>
          <w:b w:val="0"/>
        </w:rPr>
        <w:t>Possible communication evidence: explain a clue, listen to another reason, ask for clarification, and write or dictate a safer next step. The receiving teacher can select authentic responses for their own portfolio requirements; this lesson assigns no communication criterion numbers.</w:t>
      </w:r>
    </w:p>
    <w:p>
      <w:pPr>
        <w:pStyle w:val="Heading1"/>
      </w:pPr>
      <w:r>
        <w:rPr>
          <w:b w:val="0"/>
        </w:rPr>
        <w:t>Staff reflection and provenance</w:t>
      </w:r>
    </w:p>
    <w:p>
      <w:r>
        <w:rPr>
          <w:b w:val="0"/>
        </w:rPr>
        <w:t>What was understood? __________________   What needs another case? __________________</w:t>
        <w:br/>
        <w:t>Learner request and response: ___________________________________________________</w:t>
      </w:r>
    </w:p>
    <w:p>
      <w:r>
        <w:rPr>
          <w:b w:val="0"/>
        </w:rPr>
        <w:t>Sources: lane 1 scheme index on lane1/main, revision 840cc945; source workbook revision 9ed44bdf, cells above. Owner calendar order: 24 October 2026. Teaching adaptations and fictional cases are local authored resources. Full URLs and limits appear in FACTS_LEDGER.md. No official award criteria are reproduced or invented.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PSHE-GROW-A2-W01 · Public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Teacher and cover planner</dc:title>
  <dc:subject>PSHE-GROW-A2-W01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