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Staff answers and response guide</w:t>
      </w:r>
    </w:p>
    <w:p>
      <w:r>
        <w:rPr>
          <w:b w:val="0"/>
        </w:rPr>
        <w:t>Safe choices offline and online</w:t>
      </w:r>
    </w:p>
    <w:p>
      <w:r>
        <w:rPr>
          <w:b w:val="0"/>
        </w:rPr>
        <w:t>These are model responses for fictional cases. They are not observations of a learner. Allow a different defensible answer when the reason and next step fit the facts.</w:t>
      </w:r>
    </w:p>
    <w:p>
      <w:pPr>
        <w:pStyle w:val="Heading1"/>
      </w:pPr>
      <w:r>
        <w:rPr>
          <w:b w:val="0"/>
        </w:rPr>
        <w:t>Case key</w:t>
      </w:r>
    </w:p>
    <w:tbl>
      <w:tblPr>
        <w:tblStyle w:val="TableGrid"/>
        <w:tblW w:type="auto" w:w="0"/>
        <w:tblLayout w:type="fixed"/>
        <w:tblLook w:firstColumn="1" w:firstRow="1" w:lastColumn="0" w:lastRow="0" w:noHBand="0" w:noVBand="1" w:val="04A0"/>
      </w:tblPr>
      <w:tblGrid>
        <w:gridCol w:w="936"/>
        <w:gridCol w:w="4320"/>
        <w:gridCol w:w="4680"/>
      </w:tblGrid>
      <w:tr>
        <w:trPr>
          <w:tblHeader/>
          <w:cantSplit/>
        </w:trPr>
        <w:tc>
          <w:tcPr>
            <w:tcW w:type="dxa" w:w="936"/>
          </w:tcPr>
          <w:p>
            <w:pPr>
              <w:spacing w:after="80" w:before="60"/>
            </w:pPr>
            <w:r>
              <w:rPr>
                <w:b/>
                <w:sz w:val="22"/>
              </w:rPr>
              <w:t>Case</w:t>
            </w:r>
          </w:p>
        </w:tc>
        <w:tc>
          <w:tcPr>
            <w:tcW w:type="dxa" w:w="4320"/>
          </w:tcPr>
          <w:p>
            <w:pPr>
              <w:spacing w:after="80" w:before="60"/>
            </w:pPr>
            <w:r>
              <w:rPr>
                <w:b/>
                <w:sz w:val="22"/>
              </w:rPr>
              <w:t>Judgement and clue</w:t>
            </w:r>
          </w:p>
        </w:tc>
        <w:tc>
          <w:tcPr>
            <w:tcW w:type="dxa" w:w="4680"/>
          </w:tcPr>
          <w:p>
            <w:pPr>
              <w:spacing w:after="80" w:before="60"/>
            </w:pPr>
            <w:r>
              <w:rPr>
                <w:b/>
                <w:sz w:val="22"/>
              </w:rPr>
              <w:t>Possible next step</w:t>
            </w:r>
          </w:p>
        </w:tc>
      </w:tr>
      <w:tr>
        <w:trPr>
          <w:cantSplit/>
        </w:trPr>
        <w:tc>
          <w:tcPr>
            <w:tcW w:type="dxa" w:w="936"/>
          </w:tcPr>
          <w:p>
            <w:pPr>
              <w:spacing w:after="80" w:before="60"/>
            </w:pPr>
            <w:r>
              <w:rPr>
                <w:b w:val="0"/>
                <w:sz w:val="22"/>
              </w:rPr>
              <w:t>A</w:t>
            </w:r>
          </w:p>
        </w:tc>
        <w:tc>
          <w:tcPr>
            <w:tcW w:type="dxa" w:w="4320"/>
          </w:tcPr>
          <w:p>
            <w:pPr>
              <w:spacing w:after="80" w:before="60"/>
            </w:pPr>
            <w:r>
              <w:rPr>
                <w:b w:val="0"/>
                <w:sz w:val="22"/>
              </w:rPr>
              <w:t>Risk. It asks for a password.</w:t>
            </w:r>
          </w:p>
        </w:tc>
        <w:tc>
          <w:tcPr>
            <w:tcW w:type="dxa" w:w="4680"/>
          </w:tcPr>
          <w:p>
            <w:pPr>
              <w:spacing w:after="80" w:before="60"/>
            </w:pPr>
            <w:r>
              <w:rPr>
                <w:b w:val="0"/>
                <w:sz w:val="22"/>
              </w:rPr>
              <w:t>Do not reply or open links. Ask a trusted adult.</w:t>
            </w:r>
          </w:p>
        </w:tc>
      </w:tr>
      <w:tr>
        <w:trPr>
          <w:cantSplit/>
        </w:trPr>
        <w:tc>
          <w:tcPr>
            <w:tcW w:type="dxa" w:w="936"/>
          </w:tcPr>
          <w:p>
            <w:pPr>
              <w:spacing w:after="80" w:before="60"/>
            </w:pPr>
            <w:r>
              <w:rPr>
                <w:b w:val="0"/>
                <w:sz w:val="22"/>
              </w:rPr>
              <w:t>B</w:t>
            </w:r>
          </w:p>
        </w:tc>
        <w:tc>
          <w:tcPr>
            <w:tcW w:type="dxa" w:w="4320"/>
          </w:tcPr>
          <w:p>
            <w:pPr>
              <w:spacing w:after="80" w:before="60"/>
            </w:pPr>
            <w:r>
              <w:rPr>
                <w:b w:val="0"/>
                <w:sz w:val="22"/>
              </w:rPr>
              <w:t>Risk. Your permission has not been given.</w:t>
            </w:r>
          </w:p>
        </w:tc>
        <w:tc>
          <w:tcPr>
            <w:tcW w:type="dxa" w:w="4680"/>
          </w:tcPr>
          <w:p>
            <w:pPr>
              <w:spacing w:after="80" w:before="60"/>
            </w:pPr>
            <w:r>
              <w:rPr>
                <w:b w:val="0"/>
                <w:sz w:val="22"/>
              </w:rPr>
              <w:t>Ask them not to share it. Get adult help if needed.</w:t>
            </w:r>
          </w:p>
        </w:tc>
      </w:tr>
      <w:tr>
        <w:trPr>
          <w:cantSplit/>
        </w:trPr>
        <w:tc>
          <w:tcPr>
            <w:tcW w:type="dxa" w:w="936"/>
          </w:tcPr>
          <w:p>
            <w:pPr>
              <w:spacing w:after="80" w:before="60"/>
            </w:pPr>
            <w:r>
              <w:rPr>
                <w:b w:val="0"/>
                <w:sz w:val="22"/>
              </w:rPr>
              <w:t>C</w:t>
            </w:r>
          </w:p>
        </w:tc>
        <w:tc>
          <w:tcPr>
            <w:tcW w:type="dxa" w:w="4320"/>
          </w:tcPr>
          <w:p>
            <w:pPr>
              <w:spacing w:after="80" w:before="60"/>
            </w:pPr>
            <w:r>
              <w:rPr>
                <w:b w:val="0"/>
                <w:sz w:val="22"/>
              </w:rPr>
              <w:t>Safer. The teacher has checked that page for the task.</w:t>
            </w:r>
          </w:p>
        </w:tc>
        <w:tc>
          <w:tcPr>
            <w:tcW w:type="dxa" w:w="4680"/>
          </w:tcPr>
          <w:p>
            <w:pPr>
              <w:spacing w:after="80" w:before="60"/>
            </w:pPr>
            <w:r>
              <w:rPr>
                <w:b w:val="0"/>
                <w:sz w:val="22"/>
              </w:rPr>
              <w:t>Stay on the set task and ask if something new appears.</w:t>
            </w:r>
          </w:p>
        </w:tc>
      </w:tr>
      <w:tr>
        <w:trPr>
          <w:cantSplit/>
        </w:trPr>
        <w:tc>
          <w:tcPr>
            <w:tcW w:type="dxa" w:w="936"/>
          </w:tcPr>
          <w:p>
            <w:pPr>
              <w:spacing w:after="80" w:before="60"/>
            </w:pPr>
            <w:r>
              <w:rPr>
                <w:b w:val="0"/>
                <w:sz w:val="22"/>
              </w:rPr>
              <w:t>D</w:t>
            </w:r>
          </w:p>
        </w:tc>
        <w:tc>
          <w:tcPr>
            <w:tcW w:type="dxa" w:w="4320"/>
          </w:tcPr>
          <w:p>
            <w:pPr>
              <w:spacing w:after="80" w:before="60"/>
            </w:pPr>
            <w:r>
              <w:rPr>
                <w:b w:val="0"/>
                <w:sz w:val="22"/>
              </w:rPr>
              <w:t>Risk. The gate is locked and the dare adds pressure.</w:t>
            </w:r>
          </w:p>
        </w:tc>
        <w:tc>
          <w:tcPr>
            <w:tcW w:type="dxa" w:w="4680"/>
          </w:tcPr>
          <w:p>
            <w:pPr>
              <w:spacing w:after="80" w:before="60"/>
            </w:pPr>
            <w:r>
              <w:rPr>
                <w:b w:val="0"/>
                <w:sz w:val="22"/>
              </w:rPr>
              <w:t>Keep clear. Say no or move away and tell an adult.</w:t>
            </w:r>
          </w:p>
        </w:tc>
      </w:tr>
      <w:tr>
        <w:trPr>
          <w:cantSplit/>
        </w:trPr>
        <w:tc>
          <w:tcPr>
            <w:tcW w:type="dxa" w:w="936"/>
          </w:tcPr>
          <w:p>
            <w:pPr>
              <w:spacing w:after="80" w:before="60"/>
            </w:pPr>
            <w:r>
              <w:rPr>
                <w:b w:val="0"/>
                <w:sz w:val="22"/>
              </w:rPr>
              <w:t>E</w:t>
            </w:r>
          </w:p>
        </w:tc>
        <w:tc>
          <w:tcPr>
            <w:tcW w:type="dxa" w:w="4320"/>
          </w:tcPr>
          <w:p>
            <w:pPr>
              <w:spacing w:after="80" w:before="60"/>
            </w:pPr>
            <w:r>
              <w:rPr>
                <w:b w:val="0"/>
                <w:sz w:val="22"/>
              </w:rPr>
              <w:t>Need more information. We do not know what the new pop-up is.</w:t>
            </w:r>
          </w:p>
        </w:tc>
        <w:tc>
          <w:tcPr>
            <w:tcW w:type="dxa" w:w="4680"/>
          </w:tcPr>
          <w:p>
            <w:pPr>
              <w:spacing w:after="80" w:before="60"/>
            </w:pPr>
            <w:r>
              <w:rPr>
                <w:b w:val="0"/>
                <w:sz w:val="22"/>
              </w:rPr>
              <w:t>Pause. Do not click. Ask the teacher.</w:t>
            </w:r>
          </w:p>
        </w:tc>
      </w:tr>
      <w:tr>
        <w:trPr>
          <w:cantSplit/>
        </w:trPr>
        <w:tc>
          <w:tcPr>
            <w:tcW w:type="dxa" w:w="936"/>
          </w:tcPr>
          <w:p>
            <w:pPr>
              <w:spacing w:after="80" w:before="60"/>
            </w:pPr>
            <w:r>
              <w:rPr>
                <w:b w:val="0"/>
                <w:sz w:val="22"/>
              </w:rPr>
              <w:t>F</w:t>
            </w:r>
          </w:p>
        </w:tc>
        <w:tc>
          <w:tcPr>
            <w:tcW w:type="dxa" w:w="4320"/>
          </w:tcPr>
          <w:p>
            <w:pPr>
              <w:spacing w:after="80" w:before="60"/>
            </w:pPr>
            <w:r>
              <w:rPr>
                <w:b w:val="0"/>
                <w:sz w:val="22"/>
              </w:rPr>
              <w:t>Safer. Help is offered through the school support route.</w:t>
            </w:r>
          </w:p>
        </w:tc>
        <w:tc>
          <w:tcPr>
            <w:tcW w:type="dxa" w:w="4680"/>
          </w:tcPr>
          <w:p>
            <w:pPr>
              <w:spacing w:after="80" w:before="60"/>
            </w:pPr>
            <w:r>
              <w:rPr>
                <w:b w:val="0"/>
                <w:sz w:val="22"/>
              </w:rPr>
              <w:t>Say what help you need. You can use the private-help card.</w:t>
            </w:r>
          </w:p>
        </w:tc>
      </w:tr>
    </w:tbl>
    <w:p>
      <w:pPr>
        <w:pStyle w:val="Heading1"/>
      </w:pPr>
      <w:r>
        <w:rPr>
          <w:b w:val="0"/>
        </w:rPr>
        <w:t>Teacher model and hinge</w:t>
      </w:r>
    </w:p>
    <w:p>
      <w:r>
        <w:rPr>
          <w:b w:val="0"/>
        </w:rPr>
        <w:t>Jo sees a message about a free prize. It asks Jo to share a password. Clue: it asks for private details. Jo pauses and does not reply. Jo shows a trusted adult. They check the next step together.</w:t>
      </w:r>
    </w:p>
    <w:p>
      <w:r>
        <w:rPr>
          <w:b w:val="0"/>
        </w:rPr>
        <w:t>C. A password is private. Pause and ask a trusted adult without replying or opening links. A shares private details; B puts someone else at risk.</w:t>
      </w:r>
    </w:p>
    <w:p>
      <w:pPr>
        <w:pStyle w:val="Heading1"/>
      </w:pPr>
      <w:r>
        <w:rPr>
          <w:b w:val="0"/>
        </w:rPr>
        <w:t>Check understanding</w:t>
      </w:r>
    </w:p>
    <w:p>
      <w:r>
        <w:rPr>
          <w:b w:val="0"/>
        </w:rPr>
        <w:t>Ask: What is the clue? What could happen? What can the person do next? Give thinking time and offer a quiet response. Record an actual reason, not just a correct letter or a completed sort.</w:t>
      </w:r>
    </w:p>
    <w:p>
      <w:r>
        <w:br w:type="page"/>
      </w:r>
    </w:p>
    <w:p>
      <w:pPr>
        <w:pStyle w:val="Heading1"/>
      </w:pPr>
      <w:r>
        <w:rPr>
          <w:b w:val="0"/>
        </w:rPr>
        <w:t>Feedback and safe teaching</w:t>
      </w:r>
    </w:p>
    <w:p>
      <w:r>
        <w:rPr>
          <w:b w:val="0"/>
        </w:rPr>
        <w:t>Case A: A lock or gift icon is not proof that a message is genuine.</w:t>
      </w:r>
    </w:p>
    <w:p>
      <w:r>
        <w:rPr>
          <w:b w:val="0"/>
        </w:rPr>
        <w:t>Case B: Do not blame the person in the photo. If already shared, seek adult help with reporting.</w:t>
      </w:r>
    </w:p>
    <w:p>
      <w:r>
        <w:rPr>
          <w:b w:val="0"/>
        </w:rPr>
        <w:t>Case C: Checking one page does not guarantee every link or pop-up is safe.</w:t>
      </w:r>
    </w:p>
    <w:p>
      <w:r>
        <w:rPr>
          <w:b w:val="0"/>
        </w:rPr>
        <w:t>Case D: Refusal can be quiet or supported; no role-play of the unsafe action.</w:t>
      </w:r>
    </w:p>
    <w:p>
      <w:r>
        <w:rPr>
          <w:b w:val="0"/>
        </w:rPr>
        <w:t>Case E: The site context alone does not establish that the new content is safe.</w:t>
      </w:r>
    </w:p>
    <w:p>
      <w:r>
        <w:rPr>
          <w:b w:val="0"/>
        </w:rPr>
        <w:t>Case F: Known people can act unsafely too. Judge behaviour, not appearance. Adults cannot promise secrecy.</w:t>
      </w:r>
    </w:p>
    <w:p>
      <w:pPr>
        <w:pStyle w:val="Heading1"/>
      </w:pPr>
      <w:r>
        <w:rPr>
          <w:b w:val="0"/>
        </w:rPr>
        <w:t>Common misunderstandings</w:t>
      </w:r>
    </w:p>
    <w:p>
      <w:r>
        <w:rPr>
          <w:b w:val="0"/>
        </w:rPr>
        <w:t>A familiar person, a colourful icon or a checked space does not make every later action safe. “Need more information” is useful when a missing fact matters; it is not a reason to try the risky action. “Safer” recognises reduced risk without claiming certainty.</w:t>
      </w:r>
    </w:p>
    <w:p>
      <w:r>
        <w:rPr>
          <w:b w:val="0"/>
        </w:rPr>
        <w:t>Keep passwords private. Never ask pupils to show actual messages or account details. If something has already gone wrong, the learner still deserves help. Use adult support with the platform’s reporting/blocking tools where relevant; reporting cannot guarantee removal.</w:t>
      </w:r>
    </w:p>
    <w:p>
      <w:pPr>
        <w:pStyle w:val="Heading1"/>
      </w:pPr>
      <w:r>
        <w:rPr>
          <w:b w:val="0"/>
        </w:rPr>
        <w:t>Response and next teaching step</w:t>
      </w:r>
    </w:p>
    <w:p>
      <w:r>
        <w:rPr>
          <w:b w:val="0"/>
        </w:rPr>
        <w:t>If the clue is vague, point to the case and ask which words helped. If the step increases risk, re-model a pause and an adult check. If a learner is ready, ask what extra fact would change the answer. Preserve the learner’s own revised response, the adult’s support and the next practice need.</w:t>
      </w:r>
    </w:p>
    <w:p>
      <w:pPr>
        <w:pStyle w:val="Heading1"/>
      </w:pPr>
      <w:r>
        <w:rPr>
          <w:b w:val="0"/>
        </w:rPr>
        <w:t>Private help</w:t>
      </w:r>
    </w:p>
    <w:p>
      <w:r>
        <w:rPr>
          <w:b w:val="0"/>
        </w:rPr>
        <w:t>Identify the real school support route before the lesson. Listen to concerns, do not investigate in class and never promise secrecy. Follow local safeguarding procedures and keep those records separate. Use fictional alternatives and a right to pass. See the planner and FACTS_LEDGER.md for sources.</w:t>
      </w:r>
    </w:p>
    <w:p>
      <w:pPr>
        <w:pStyle w:val="Heading1"/>
      </w:pPr>
      <w:r>
        <w:rPr>
          <w:b w:val="0"/>
        </w:rPr>
        <w:t>Evidence boundary</w:t>
      </w:r>
    </w:p>
    <w:p>
      <w:r>
        <w:rPr>
          <w:b w:val="0"/>
        </w:rPr>
        <w:t>GROW-PSHE-W2-E1 records local formative learning. The source scheme’s December assessment remains in December. This pack supplies no award criterion judgement or automatic completion claim.</w:t>
      </w:r>
    </w:p>
    <w:sectPr w:rsidR="00FC693F" w:rsidRPr="0006063C" w:rsidSect="00034616">
      <w:headerReference w:type="default" r:id="rId9"/>
      <w:footerReference w:type="default" r:id="rId10"/>
      <w:pgSz w:w="11909" w:h="16834"/>
      <w:pgMar w:top="792" w:right="893" w:bottom="792" w:left="893" w:header="346"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4"/>
      </w:rPr>
      <w:t>Made by Matt · © Matt Roper · CC BY-NC-SA 4.0: free for classroom use, share and adapt with credit, no resale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8"/>
      </w:rPr>
      <w:t>PSHE-GROW-A2-W02 · School and Public resource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2" w:lineRule="auto"/>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line="252" w:lineRule="auto"/>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2" w:lineRule="auto"/>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2" w:lineRule="auto"/>
    </w:pPr>
    <w:rPr>
      <w:rFonts w:ascii="Arial" w:hAnsi="Arial"/>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Staff answers and response guide</dc:title>
  <dc:subject>PSHE-GROW-A2-W02</dc:subject>
  <dc:creator/>
  <cp:keywords/>
  <dc:description/>
  <cp:lastModifiedBy/>
  <cp:revision>1</cp:revision>
  <dcterms:created xsi:type="dcterms:W3CDTF">2026-10-24T00:00:00Z</dcterms:created>
  <dcterms:modified xsi:type="dcterms:W3CDTF">2026-10-24T00:00:00Z</dcterms:modified>
  <cp:category/>
</cp:coreProperties>
</file>