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7824"/>
        <w:gridCol w:w="680"/>
        <w:gridCol w:w="1587"/>
      </w:tblGrid>
      <w:tr>
        <w:trPr>
          <w:trHeight w:val="2316" w:hRule="atLeast"/>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bl>
    <w:p>
      <w:pPr>
        <w:spacing w:before="80" w:after="80"/>
      </w:pPr>
      <w:r>
        <w:rPr>
          <w:rFonts w:ascii="Liberation Sans" w:hAnsi="Liberation Sans" w:eastAsia="Liberation Sans" w:cs="Liberation Sans"/>
          <w:b/>
          <w:color w:val="182B32"/>
          <w:sz w:val="26"/>
        </w:rPr>
        <w:t>Teacher and cover plan</w:t>
      </w:r>
    </w:p>
    <w:p>
      <w:pPr>
        <w:keepLines/>
        <w:spacing w:before="0" w:after="20" w:line="224" w:lineRule="exact"/>
      </w:pPr>
      <w:r>
        <w:rPr>
          <w:rFonts w:ascii="Liberation Sans" w:hAnsi="Liberation Sans" w:eastAsia="Liberation Sans" w:cs="Liberation Sans"/>
          <w:b/>
          <w:color w:val="182B32"/>
          <w:sz w:val="23"/>
        </w:rPr>
        <w:t xml:space="preserve">1. Lesson outcome. </w:t>
      </w:r>
      <w:r>
        <w:rPr>
          <w:rFonts w:ascii="Liberation Sans" w:hAnsi="Liberation Sans" w:eastAsia="Liberation Sans" w:cs="Liberation Sans"/>
          <w:b w:val="0"/>
          <w:color w:val="182B32"/>
          <w:sz w:val="22"/>
        </w:rPr>
        <w:t>GROW-RE-S1-W01; Beliefs, change and resilience. Outcome: Explore how beliefs help people cope with change and hardship. To be able to explain how a belief can help someone face change. Success today: I can… I can link a belief to a possible response. I can use a detail from a source. I can keep the claim small and fair.</w:t>
      </w:r>
    </w:p>
    <w:p>
      <w:pPr>
        <w:keepLines/>
        <w:spacing w:before="0" w:after="20" w:line="224" w:lineRule="exact"/>
      </w:pPr>
      <w:r>
        <w:rPr>
          <w:rFonts w:ascii="Liberation Sans" w:hAnsi="Liberation Sans" w:eastAsia="Liberation Sans" w:cs="Liberation Sans"/>
          <w:b/>
          <w:color w:val="182B32"/>
          <w:sz w:val="23"/>
        </w:rPr>
        <w:t xml:space="preserve">2. Arrival 1–4. </w:t>
      </w:r>
      <w:r>
        <w:rPr>
          <w:rFonts w:ascii="Liberation Sans" w:hAnsi="Liberation Sans" w:eastAsia="Liberation Sans" w:cs="Liberation Sans"/>
          <w:b w:val="0"/>
          <w:color w:val="182B32"/>
          <w:sz w:val="22"/>
        </w:rPr>
        <w:t>5 min · KEEP. Use one tier: three prior checks and the link. Keep four first responses; recap only after first try. TA: Help locate the tier, start within two minutes, then record actual source access; offer pointing before speech. Avoid: Do not answer the four questions or show recall before the first attempt. VF: “You have made a first attempt. I will note what you knew and what help you used.”</w:t>
      </w:r>
    </w:p>
    <w:p>
      <w:pPr>
        <w:keepLines/>
        <w:spacing w:before="0" w:after="20" w:line="224" w:lineRule="exact"/>
      </w:pPr>
      <w:r>
        <w:rPr>
          <w:rFonts w:ascii="Liberation Sans" w:hAnsi="Liberation Sans" w:eastAsia="Liberation Sans" w:cs="Liberation Sans"/>
          <w:b/>
          <w:color w:val="182B32"/>
          <w:sz w:val="23"/>
        </w:rPr>
        <w:t xml:space="preserve">3. Starter. </w:t>
      </w:r>
      <w:r>
        <w:rPr>
          <w:rFonts w:ascii="Liberation Sans" w:hAnsi="Liberation Sans" w:eastAsia="Liberation Sans" w:cs="Liberation Sans"/>
          <w:b w:val="0"/>
          <w:color w:val="182B32"/>
          <w:sz w:val="22"/>
        </w:rPr>
        <w:t>3 min. Question: If a plan fails, does that prove the people have failed? In your book: One brief choice or response. TA: Read the one question and allow quiet thinking. Avoid: Do not supply the pupil’s response. VF: “I heard your choice. Tell or show me the part that led you to it.”</w:t>
      </w:r>
    </w:p>
    <w:p>
      <w:pPr>
        <w:keepLines/>
        <w:spacing w:before="0" w:after="20" w:line="224" w:lineRule="exact"/>
      </w:pPr>
      <w:r>
        <w:rPr>
          <w:rFonts w:ascii="Liberation Sans" w:hAnsi="Liberation Sans" w:eastAsia="Liberation Sans" w:cs="Liberation Sans"/>
          <w:b/>
          <w:color w:val="182B32"/>
          <w:sz w:val="23"/>
        </w:rPr>
        <w:t xml:space="preserve">4. I Do. </w:t>
      </w:r>
      <w:r>
        <w:rPr>
          <w:rFonts w:ascii="Liberation Sans" w:hAnsi="Liberation Sans" w:eastAsia="Liberation Sans" w:cs="Liberation Sans"/>
          <w:b w:val="0"/>
          <w:color w:val="182B32"/>
          <w:sz w:val="22"/>
        </w:rPr>
        <w:t>6 min · KEEP. Use the complete I Do method model and its named source. Record one useful model step or word; no board copying. Hide the model before the own task. TA: Support attention to the current source and model step. Avoid: Do not give a parallel explanation or count copied model words as independent evidence. VF: “This is the model. Your later response will show how you use the method.”</w:t>
      </w:r>
    </w:p>
    <w:p>
      <w:pPr>
        <w:keepLines/>
        <w:spacing w:before="0" w:after="20" w:line="224" w:lineRule="exact"/>
      </w:pPr>
      <w:r>
        <w:rPr>
          <w:rFonts w:ascii="Liberation Sans" w:hAnsi="Liberation Sans" w:eastAsia="Liberation Sans" w:cs="Liberation Sans"/>
          <w:b/>
          <w:color w:val="182B32"/>
          <w:sz w:val="23"/>
        </w:rPr>
        <w:t xml:space="preserve">5. We Do. </w:t>
      </w:r>
      <w:r>
        <w:rPr>
          <w:rFonts w:ascii="Liberation Sans" w:hAnsi="Liberation Sans" w:eastAsia="Liberation Sans" w:cs="Liberation Sans"/>
          <w:b w:val="0"/>
          <w:color w:val="182B32"/>
          <w:sz w:val="22"/>
        </w:rPr>
        <w:t>8 min · KEEP. Use the We Do source and prompt. Keep one guided example and the pupil’s own contribution before revealing the shared check. TA: Prompt a contribution and a record, then fade after the first success. Avoid: Do not complete the guided response for the pupil. VF: “You chose that detail. Check its link to the task; keep it or change it in your own way.”</w:t>
      </w:r>
    </w:p>
    <w:p>
      <w:pPr>
        <w:keepLines/>
        <w:spacing w:before="0" w:after="20" w:line="224" w:lineRule="exact"/>
      </w:pPr>
      <w:r>
        <w:rPr>
          <w:rFonts w:ascii="Liberation Sans" w:hAnsi="Liberation Sans" w:eastAsia="Liberation Sans" w:cs="Liberation Sans"/>
          <w:b/>
          <w:color w:val="182B32"/>
          <w:sz w:val="23"/>
        </w:rPr>
        <w:t xml:space="preserve">6. You Do. </w:t>
      </w:r>
      <w:r>
        <w:rPr>
          <w:rFonts w:ascii="Liberation Sans" w:hAnsi="Liberation Sans" w:eastAsia="Liberation Sans" w:cs="Liberation Sans"/>
          <w:b w:val="0"/>
          <w:color w:val="182B32"/>
          <w:sz w:val="22"/>
        </w:rPr>
        <w:t>15 min · KEEP. Use the chosen source-based route. Keep the pupil’s response and review within the allocated You Do time; exact route and answer guidance are in Staff_Answers.pdf. TA: Use the held ladder only as needed, record help, then return to independence. Avoid: Do not give content answers, improve the pupil’s baseline or label prompted work independent. VF: “This detail supports your claim. Your next step is to check one link; show me your own edit or reason to keep it.”</w:t>
      </w:r>
    </w:p>
    <w:p>
      <w:pPr>
        <w:keepLines/>
        <w:spacing w:before="0" w:after="20" w:line="224" w:lineRule="exact"/>
      </w:pPr>
      <w:r>
        <w:rPr>
          <w:rFonts w:ascii="Liberation Sans" w:hAnsi="Liberation Sans" w:eastAsia="Liberation Sans" w:cs="Liberation Sans"/>
          <w:b/>
          <w:color w:val="182B32"/>
          <w:sz w:val="23"/>
        </w:rPr>
        <w:t xml:space="preserve">7. Support routes. </w:t>
      </w:r>
      <w:r>
        <w:rPr>
          <w:rFonts w:ascii="Liberation Sans" w:hAnsi="Liberation Sans" w:eastAsia="Liberation Sans" w:cs="Liberation Sans"/>
          <w:b w:val="0"/>
          <w:color w:val="182B32"/>
          <w:sz w:val="22"/>
        </w:rPr>
        <w:t>Independent first; Supported then Choice as needed; Aspire is separate. Staff record actual I/S/C and exact prompts; leave the pupil’s box empty.</w:t>
      </w:r>
    </w:p>
    <w:p>
      <w:pPr>
        <w:keepLines/>
        <w:spacing w:before="0" w:after="20" w:line="224" w:lineRule="exact"/>
      </w:pPr>
      <w:r>
        <w:rPr>
          <w:rFonts w:ascii="Liberation Sans" w:hAnsi="Liberation Sans" w:eastAsia="Liberation Sans" w:cs="Liberation Sans"/>
          <w:b/>
          <w:color w:val="182B32"/>
          <w:sz w:val="23"/>
        </w:rPr>
        <w:t xml:space="preserve">8. Adaptations / normal ways of working. </w:t>
      </w:r>
      <w:r>
        <w:rPr>
          <w:rFonts w:ascii="Liberation Sans" w:hAnsi="Liberation Sans" w:eastAsia="Liberation Sans" w:cs="Liberation Sans"/>
          <w:b w:val="0"/>
          <w:color w:val="182B32"/>
          <w:sz w:val="22"/>
        </w:rPr>
        <w:t>Short chunks; dual-coded vocabulary mat; reduced-source load; sentence stems/graphic organiser; one model before independence; reader/scribe/overlay/processing time. Three short cards, one belief-action-link frame; point before talk; one card at a time. Space: private response and opt-out; return to one card and the first unfinished step. Planned regulation/movement break; return to the first unfinished source step. No cold calling; nobody is asked to read difficult text aloud.</w:t>
      </w:r>
    </w:p>
    <w:p>
      <w:pPr>
        <w:keepLines/>
        <w:spacing w:before="0" w:after="20" w:line="224" w:lineRule="exact"/>
      </w:pPr>
      <w:r>
        <w:rPr>
          <w:rFonts w:ascii="Liberation Sans" w:hAnsi="Liberation Sans" w:eastAsia="Liberation Sans" w:cs="Liberation Sans"/>
          <w:b/>
          <w:color w:val="182B32"/>
          <w:sz w:val="23"/>
        </w:rPr>
        <w:t xml:space="preserve">9. TA focus. </w:t>
      </w:r>
      <w:r>
        <w:rPr>
          <w:rFonts w:ascii="Liberation Sans" w:hAnsi="Liberation Sans" w:eastAsia="Liberation Sans" w:cs="Liberation Sans"/>
          <w:b w:val="0"/>
          <w:color w:val="182B32"/>
          <w:sz w:val="22"/>
        </w:rPr>
        <w:t>Designated evidence adult: lesson TA; teacher captures if no TA is assigned. Record actual source access and prompting; never improve the baseline or mark prompted work independent. Held prompt ladder: page 2.</w:t>
      </w:r>
    </w:p>
    <w:p>
      <w:pPr>
        <w:keepLines/>
        <w:spacing w:before="0" w:after="20" w:line="224" w:lineRule="exact"/>
      </w:pPr>
      <w:r>
        <w:rPr>
          <w:rFonts w:ascii="Liberation Sans" w:hAnsi="Liberation Sans" w:eastAsia="Liberation Sans" w:cs="Liberation Sans"/>
          <w:b/>
          <w:color w:val="182B32"/>
          <w:sz w:val="23"/>
        </w:rPr>
        <w:t xml:space="preserve">10. Exit 1–3. </w:t>
      </w:r>
      <w:r>
        <w:rPr>
          <w:rFonts w:ascii="Liberation Sans" w:hAnsi="Liberation Sans" w:eastAsia="Liberation Sans" w:cs="Liberation Sans"/>
          <w:b w:val="0"/>
          <w:color w:val="182B32"/>
          <w:sz w:val="22"/>
        </w:rPr>
        <w:t>3 min · KEEP. Use one tier and the whole fresh source: both unaltered checks, confidence 1–3 and separate adult prompt record. No other help; use responses for the next lesson. TA: Ensure access and an attempt or recorded pass; preserve the response. Avoid: Do not hint, change an answer or treat confidence as proof of learning. VF: “I have kept your answer as you gave it. It will help choose our next step.”</w:t>
      </w:r>
    </w:p>
    <w:p>
      <w:pPr>
        <w:keepLines/>
        <w:spacing w:before="0" w:after="20" w:line="224" w:lineRule="exact"/>
      </w:pPr>
      <w:r>
        <w:rPr>
          <w:rFonts w:ascii="Liberation Sans" w:hAnsi="Liberation Sans" w:eastAsia="Liberation Sans" w:cs="Liberation Sans"/>
          <w:b/>
          <w:color w:val="182B32"/>
          <w:sz w:val="23"/>
        </w:rPr>
        <w:t xml:space="preserve">11. After teaching. </w:t>
      </w:r>
      <w:r>
        <w:rPr>
          <w:rFonts w:ascii="Liberation Sans" w:hAnsi="Liberation Sans" w:eastAsia="Liberation Sans" w:cs="Liberation Sans"/>
          <w:b w:val="0"/>
          <w:color w:val="182B32"/>
          <w:sz w:val="22"/>
        </w:rPr>
        <w:t>Misconception: ____________________  Response: ____________________ Next step: ____________________  Evaluation: ____________________</w:t>
      </w:r>
    </w:p>
    <w:p>
      <w:pPr>
        <w:keepLines/>
        <w:spacing w:before="0" w:after="20" w:line="224" w:lineRule="exact"/>
      </w:pPr>
      <w:r>
        <w:rPr>
          <w:rFonts w:ascii="Liberation Sans" w:hAnsi="Liberation Sans" w:eastAsia="Liberation Sans" w:cs="Liberation Sans"/>
          <w:b/>
          <w:color w:val="182B32"/>
          <w:sz w:val="23"/>
        </w:rPr>
        <w:t xml:space="preserve">12. Preparation / evidence / cover essentials. </w:t>
      </w:r>
      <w:r>
        <w:rPr>
          <w:rFonts w:ascii="Liberation Sans" w:hAnsi="Liberation Sans" w:eastAsia="Liberation Sans" w:cs="Liberation Sans"/>
          <w:b w:val="0"/>
          <w:color w:val="182B32"/>
          <w:sz w:val="22"/>
        </w:rPr>
        <w:t>PPT; complete A/B/C source cards, word cards, blank record, selected route and Pause card. Educational RE, not worship; optional reflection and neutral case. No personal belief/loss disclosure, sacred originals, real flame or role-play. Keep recall covered until first try; model hidden for the own task and all help closed at Exit. Answers: Staff_Answers.pdf. TA captures the exact response, route and help; teacher receives it fully, names the change back and chooses the next step. Teacher captures if no TA. TA checks and uploads to the evidence app that day. Record actual influence; R requires receipt and influence. KEEP: Keep the belief-action link, source detail, limit and two Exit checks. Shorten optional Aspire before the essential task. Six-stage timeline (minutes): 00–05; 05–08; 08–14; 14–22; 22–37; 37–40.</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2316" w:hRule="atLeast"/>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bl>
    <w:p>
      <w:pPr>
        <w:spacing w:before="80" w:after="80"/>
      </w:pPr>
      <w:r>
        <w:rPr>
          <w:rFonts w:ascii="Liberation Sans" w:hAnsi="Liberation Sans" w:eastAsia="Liberation Sans" w:cs="Liberation Sans"/>
          <w:b/>
          <w:color w:val="182B32"/>
          <w:sz w:val="26"/>
        </w:rPr>
        <w:t>Key answers and adult prompt ladder</w:t>
      </w:r>
    </w:p>
    <w:p>
      <w:pPr>
        <w:keepLines/>
        <w:spacing w:before="0" w:after="20" w:line="224" w:lineRule="exact"/>
      </w:pPr>
      <w:r>
        <w:rPr>
          <w:rFonts w:ascii="Liberation Sans" w:hAnsi="Liberation Sans" w:eastAsia="Liberation Sans" w:cs="Liberation Sans"/>
          <w:b/>
          <w:color w:val="182B32"/>
          <w:sz w:val="23"/>
        </w:rPr>
        <w:t xml:space="preserve">Arrival key answers. </w:t>
      </w:r>
      <w:r>
        <w:rPr>
          <w:rFonts w:ascii="Liberation Sans" w:hAnsi="Liberation Sans" w:eastAsia="Liberation Sans" w:cs="Liberation Sans"/>
          <w:b w:val="0"/>
          <w:color w:val="182B32"/>
          <w:sz w:val="22"/>
        </w:rPr>
        <w:t>Supported: 1. It becomes different; accept a sensible prior idea.; 2. A reason; accept a sensible prior example.; 3. Ask for help, pause, try a new plan or another safe response.; 4. Yes; accept a sensible prior idea, with no personal belief request. Standard: 1. A part is different, such as place, time or method; accept a sensible baseline idea.; 2. It gives the why behind a choice; accept a sensible prior idea.; 3. Safe help, a pause, an accessible tool or a new plan; do not require personal experience.; 4. Different people can have different aims or values; accept a sensible prior explanation. Stretch: 1. No. Plans can change for reasons outside a person’s control; accept a sensible prior reason.; 2. A reason can explain a choice; a guess without evidence may misrepresent the person.; 3. It can provide needed information, access or support; coping does not require doing everything alone.; 4. Different people can make the same choice, so the act alone does not establish a belief.</w:t>
      </w:r>
    </w:p>
    <w:p>
      <w:pPr>
        <w:keepLines/>
        <w:spacing w:before="0" w:after="20" w:line="224" w:lineRule="exact"/>
      </w:pPr>
      <w:r>
        <w:rPr>
          <w:rFonts w:ascii="Liberation Sans" w:hAnsi="Liberation Sans" w:eastAsia="Liberation Sans" w:cs="Liberation Sans"/>
          <w:b/>
          <w:color w:val="182B32"/>
          <w:sz w:val="23"/>
        </w:rPr>
        <w:t xml:space="preserve">Exit Ticket key answers. </w:t>
      </w:r>
      <w:r>
        <w:rPr>
          <w:rFonts w:ascii="Liberation Sans" w:hAnsi="Liberation Sans" w:eastAsia="Liberation Sans" w:cs="Liberation Sans"/>
          <w:b w:val="0"/>
          <w:color w:val="182B32"/>
          <w:sz w:val="22"/>
        </w:rPr>
        <w:t>Supported: 1. Checking facts links to reason; asking about needs links to care.; 2. Make a safe new plan, listen or seek help, with a reason linked to the card. Standard: 1. Reason supports checking facts and care supports finding needs while the plan changes.; 2. The case does not identify the person’s worldview or promise success. Stretch: 1. A reasoned source-linked explanation of checking facts/caring while adapting the meal plan.; 2. The plan might miss needed help. Link asking about needs with care; do not require or invent any actual personal need.</w:t>
      </w:r>
    </w:p>
    <w:p>
      <w:pPr>
        <w:keepLines/>
        <w:spacing w:before="0" w:after="20" w:line="224" w:lineRule="exact"/>
      </w:pPr>
      <w:r>
        <w:rPr>
          <w:rFonts w:ascii="Liberation Sans" w:hAnsi="Liberation Sans" w:eastAsia="Liberation Sans" w:cs="Liberation Sans"/>
          <w:b/>
          <w:color w:val="182B32"/>
          <w:sz w:val="23"/>
        </w:rPr>
        <w:t xml:space="preserve">Answer reference. </w:t>
      </w:r>
      <w:r>
        <w:rPr>
          <w:rFonts w:ascii="Liberation Sans" w:hAnsi="Liberation Sans" w:eastAsia="Liberation Sans" w:cs="Liberation Sans"/>
          <w:b w:val="0"/>
          <w:color w:val="182B32"/>
          <w:sz w:val="22"/>
        </w:rPr>
        <w:t>Staff_Answers.pdf: Arrival and Exit by tier, then guided and route answers. Check the accepted source before accepting equivalent answers.</w:t>
      </w:r>
    </w:p>
    <w:p>
      <w:pPr>
        <w:keepLines/>
        <w:spacing w:before="0" w:after="20" w:line="224" w:lineRule="exact"/>
      </w:pPr>
      <w:r>
        <w:rPr>
          <w:rFonts w:ascii="Liberation Sans" w:hAnsi="Liberation Sans" w:eastAsia="Liberation Sans" w:cs="Liberation Sans"/>
          <w:b/>
          <w:color w:val="182B32"/>
          <w:sz w:val="23"/>
        </w:rPr>
        <w:t xml:space="preserve">Prompt ladder for adults. </w:t>
      </w:r>
      <w:r>
        <w:rPr>
          <w:rFonts w:ascii="Liberation Sans" w:hAnsi="Liberation Sans" w:eastAsia="Liberation Sans" w:cs="Liberation Sans"/>
          <w:b w:val="0"/>
          <w:color w:val="182B32"/>
          <w:sz w:val="22"/>
        </w:rPr>
        <w:t>1. Point to the relevant place / instruction. 2. Ask one short question: "What is it asking you to find?" 3. Rephrase the instruction in simpler language. 4. Provide a scaffold or limited choice. 5. Model the first step only, then return the task to the pupil.</w:t>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2"/>
      </w:rPr>
      <w:t>Made from the web lesson GROW-RE-S1-W01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2"/>
      <w:szCs w:val="20"/>
    </w:rPr>
  </w:style>
  <w:style w:type="character" w:default="1" w:styleId="DefaultParagraphFont">
    <w:name w:val="Default Paragraph Font"/>
    <w:uiPriority w:val="1"/>
    <w:semiHidden/>
    <w:unhideWhenUsed/>
    <w:rPr>
      <w:rFonts w:ascii="Liberation Sans" w:hAnsi="Liberation Sans" w:eastAsia="Liberation Sans" w:cs="Liberation Sans"/>
      <w:sz w:val="22"/>
    </w:rPr>
  </w:style>
  <w:style w:type="table" w:default="1" w:styleId="TableNormal">
    <w:name w:val="Normal Table"/>
    <w:uiPriority w:val="99"/>
    <w:semiHidden/>
    <w:unhideWhenUsed/>
    <w:rPr>
      <w:rFonts w:ascii="Liberation Sans" w:hAnsi="Liberation Sans" w:eastAsia="Liberation Sans" w:cs="Liberation Sans"/>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2"/>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2"/>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2"/>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2"/>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2"/>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2"/>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2"/>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2"/>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2"/>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2"/>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2"/>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2"/>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2"/>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2"/>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2"/>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2"/>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2"/>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2"/>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2"/>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2"/>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2"/>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2"/>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2"/>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2"/>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2"/>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2"/>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2"/>
      <w:szCs w:val="18"/>
    </w:rPr>
  </w:style>
  <w:style w:type="character" w:styleId="Strong">
    <w:name w:val="Strong"/>
    <w:basedOn w:val="DefaultParagraphFont"/>
    <w:uiPriority w:val="22"/>
    <w:qFormat/>
    <w:rsid w:val="00FC693F"/>
    <w:rPr>
      <w:rFonts w:ascii="Liberation Sans" w:hAnsi="Liberation Sans" w:eastAsia="Liberation Sans" w:cs="Liberation Sans"/>
      <w:b/>
      <w:bCs/>
      <w:sz w:val="22"/>
    </w:rPr>
  </w:style>
  <w:style w:type="character" w:styleId="Emphasis">
    <w:name w:val="Emphasis"/>
    <w:basedOn w:val="DefaultParagraphFont"/>
    <w:uiPriority w:val="20"/>
    <w:qFormat/>
    <w:rsid w:val="00FC693F"/>
    <w:rPr>
      <w:rFonts w:ascii="Liberation Sans" w:hAnsi="Liberation Sans" w:eastAsia="Liberation Sans" w:cs="Liberation Sans"/>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2"/>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2"/>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2"/>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2"/>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2"/>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2"/>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beliefs help when a plan must change?</dc:title>
  <dc:subject>GROW-RE-S1-W01</dc:subject>
  <dc:creator/>
  <cp:keywords/>
  <dc:description/>
  <cp:lastModifiedBy/>
  <cp:revision>1</cp:revision>
  <dcterms:created xsi:type="dcterms:W3CDTF">2013-12-23T23:15:00Z</dcterms:created>
  <dcterms:modified xsi:type="dcterms:W3CDTF">2013-12-23T23:15:00Z</dcterms:modified>
  <cp:category/>
  <dc:language>en-GB</dc:language>
</cp:coreProperties>
</file>