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Hope</w:t>
                        </w:r>
                      </w:p>
                      <w:p>
                        <w:pPr>
                          <w:keepLines/>
                          <w:spacing w:after="60" w:before="0" w:line="247" w:lineRule="auto"/>
                        </w:pPr>
                        <w:r>
                          <w:rPr>
                            <w:rFonts w:ascii="Liberation Sans" w:hAnsi="Liberation Sans" w:eastAsia="Liberation Sans" w:cs="Liberation Sans"/>
                            <w:b w:val="0"/>
                            <w:color w:val="182B32"/>
                            <w:sz w:val="28"/>
                          </w:rPr>
                          <w:t>Did hope guarantee the garden plan would succeed?</w:t>
                        </w:r>
                      </w:p>
                      <w:p>
                        <w:pPr>
                          <w:keepLines/>
                          <w:spacing w:after="60" w:before="0" w:line="247" w:lineRule="auto"/>
                          <w:shd w:fill="E4EFF9"/>
                        </w:pPr>
                        <w:r>
                          <w:rPr>
                            <w:rFonts w:ascii="Liberation Sans" w:hAnsi="Liberation Sans" w:eastAsia="Liberation Sans" w:cs="Liberation Sans"/>
                            <w:b w:val="0"/>
                            <w:color w:val="182B32"/>
                            <w:sz w:val="28"/>
                          </w:rPr>
                          <w:t>Clue: Think about what was and was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Support</w:t>
                        </w:r>
                      </w:p>
                      <w:p>
                        <w:pPr>
                          <w:keepLines/>
                          <w:spacing w:after="60" w:before="0" w:line="247" w:lineRule="auto"/>
                        </w:pPr>
                        <w:r>
                          <w:rPr>
                            <w:rFonts w:ascii="Liberation Sans" w:hAnsi="Liberation Sans" w:eastAsia="Liberation Sans" w:cs="Liberation Sans"/>
                            <w:b w:val="0"/>
                            <w:color w:val="182B32"/>
                            <w:sz w:val="28"/>
                          </w:rPr>
                          <w:t>What practical support did the garden need?</w:t>
                        </w:r>
                      </w:p>
                      <w:p>
                        <w:pPr>
                          <w:keepLines/>
                          <w:spacing w:after="60" w:before="0" w:line="247" w:lineRule="auto"/>
                          <w:shd w:fill="E4EFF9"/>
                        </w:pPr>
                        <w:r>
                          <w:rPr>
                            <w:rFonts w:ascii="Liberation Sans" w:hAnsi="Liberation Sans" w:eastAsia="Liberation Sans" w:cs="Liberation Sans"/>
                            <w:b w:val="0"/>
                            <w:color w:val="182B32"/>
                            <w:sz w:val="28"/>
                          </w:rPr>
                          <w:t>Clue: Think about the damaged area.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Belief and limits</w:t>
                        </w:r>
                      </w:p>
                      <w:p>
                        <w:pPr>
                          <w:keepLines/>
                          <w:spacing w:after="60" w:before="0" w:line="247" w:lineRule="auto"/>
                        </w:pPr>
                        <w:r>
                          <w:rPr>
                            <w:rFonts w:ascii="Liberation Sans" w:hAnsi="Liberation Sans" w:eastAsia="Liberation Sans" w:cs="Liberation Sans"/>
                            <w:b w:val="0"/>
                            <w:color w:val="182B32"/>
                            <w:sz w:val="28"/>
                          </w:rPr>
                          <w:t>Did a setback show a person had weak belief?</w:t>
                        </w:r>
                      </w:p>
                      <w:p>
                        <w:pPr>
                          <w:keepLines/>
                          <w:spacing w:after="60" w:before="0" w:line="247" w:lineRule="auto"/>
                          <w:shd w:fill="E4EFF9"/>
                        </w:pPr>
                        <w:r>
                          <w:rPr>
                            <w:rFonts w:ascii="Liberation Sans" w:hAnsi="Liberation Sans" w:eastAsia="Liberation Sans" w:cs="Liberation Sans"/>
                            <w:b w:val="0"/>
                            <w:color w:val="182B32"/>
                            <w:sz w:val="28"/>
                          </w:rPr>
                          <w:t>Clue: Think about the limits of that claim.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helps test a viewpoint?</w:t>
                        </w:r>
                      </w:p>
                      <w:p>
                        <w:pPr>
                          <w:keepLines/>
                          <w:spacing w:after="60" w:before="0" w:line="247" w:lineRule="auto"/>
                          <w:shd w:fill="E4EFF9"/>
                        </w:pPr>
                        <w:r>
                          <w:rPr>
                            <w:rFonts w:ascii="Liberation Sans" w:hAnsi="Liberation Sans" w:eastAsia="Liberation Sans" w:cs="Liberation Sans"/>
                            <w:b w:val="0"/>
                            <w:color w:val="182B32"/>
                            <w:sz w:val="28"/>
                          </w:rPr>
                          <w:t>Clue: Think about a claim and information.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X5: a workshop sends the same spoken instructions to all participants. One participant cannot access spoken information and requests written instructions containing the same steps. The organiser can provide them. A draft argument says: “Any different format is unfair special treatment.”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Which case fact challenges the draft argument?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a more justified judgement about this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Hope</w:t>
                        </w:r>
                      </w:p>
                      <w:p>
                        <w:pPr>
                          <w:keepLines/>
                          <w:spacing w:after="60" w:before="0" w:line="247" w:lineRule="auto"/>
                        </w:pPr>
                        <w:r>
                          <w:rPr>
                            <w:rFonts w:ascii="Liberation Sans" w:hAnsi="Liberation Sans" w:eastAsia="Liberation Sans" w:cs="Liberation Sans"/>
                            <w:b w:val="0"/>
                            <w:color w:val="182B32"/>
                            <w:sz w:val="28"/>
                          </w:rPr>
                          <w:t>How did the smaller plan connect hope with evidence?</w:t>
                        </w:r>
                      </w:p>
                      <w:p>
                        <w:pPr>
                          <w:keepLines/>
                          <w:spacing w:after="60" w:before="0" w:line="247" w:lineRule="auto"/>
                          <w:shd w:fill="E4EFF9"/>
                        </w:pPr>
                        <w:r>
                          <w:rPr>
                            <w:rFonts w:ascii="Liberation Sans" w:hAnsi="Liberation Sans" w:eastAsia="Liberation Sans" w:cs="Liberation Sans"/>
                            <w:b w:val="0"/>
                            <w:color w:val="182B32"/>
                            <w:sz w:val="28"/>
                          </w:rPr>
                          <w:t>Clue: Think about what was and was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Support</w:t>
                        </w:r>
                      </w:p>
                      <w:p>
                        <w:pPr>
                          <w:keepLines/>
                          <w:spacing w:after="60" w:before="0" w:line="247" w:lineRule="auto"/>
                        </w:pPr>
                        <w:r>
                          <w:rPr>
                            <w:rFonts w:ascii="Liberation Sans" w:hAnsi="Liberation Sans" w:eastAsia="Liberation Sans" w:cs="Liberation Sans"/>
                            <w:b w:val="0"/>
                            <w:color w:val="182B32"/>
                            <w:sz w:val="28"/>
                          </w:rPr>
                          <w:t>Why could a pause be part of resilience?</w:t>
                        </w:r>
                      </w:p>
                      <w:p>
                        <w:pPr>
                          <w:keepLines/>
                          <w:spacing w:after="60" w:before="0" w:line="247" w:lineRule="auto"/>
                          <w:shd w:fill="E4EFF9"/>
                        </w:pPr>
                        <w:r>
                          <w:rPr>
                            <w:rFonts w:ascii="Liberation Sans" w:hAnsi="Liberation Sans" w:eastAsia="Liberation Sans" w:cs="Liberation Sans"/>
                            <w:b w:val="0"/>
                            <w:color w:val="182B32"/>
                            <w:sz w:val="28"/>
                          </w:rPr>
                          <w:t>Clue: Think about the damaged area.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Belief and limits</w:t>
                        </w:r>
                      </w:p>
                      <w:p>
                        <w:pPr>
                          <w:keepLines/>
                          <w:spacing w:after="60" w:before="0" w:line="247" w:lineRule="auto"/>
                        </w:pPr>
                        <w:r>
                          <w:rPr>
                            <w:rFonts w:ascii="Liberation Sans" w:hAnsi="Liberation Sans" w:eastAsia="Liberation Sans" w:cs="Liberation Sans"/>
                            <w:b w:val="0"/>
                            <w:color w:val="182B32"/>
                            <w:sz w:val="28"/>
                          </w:rPr>
                          <w:t>How did the Christian story differ from a prediction about the garden?</w:t>
                        </w:r>
                      </w:p>
                      <w:p>
                        <w:pPr>
                          <w:keepLines/>
                          <w:spacing w:after="60" w:before="0" w:line="247" w:lineRule="auto"/>
                          <w:shd w:fill="E4EFF9"/>
                        </w:pPr>
                        <w:r>
                          <w:rPr>
                            <w:rFonts w:ascii="Liberation Sans" w:hAnsi="Liberation Sans" w:eastAsia="Liberation Sans" w:cs="Liberation Sans"/>
                            <w:b w:val="0"/>
                            <w:color w:val="182B32"/>
                            <w:sz w:val="28"/>
                          </w:rPr>
                          <w:t>Clue: Think about the limits of that claim.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How could you evaluate a view fairly before disagreeing?</w:t>
                        </w:r>
                      </w:p>
                      <w:p>
                        <w:pPr>
                          <w:keepLines/>
                          <w:spacing w:after="60" w:before="0" w:line="247" w:lineRule="auto"/>
                          <w:shd w:fill="E4EFF9"/>
                        </w:pPr>
                        <w:r>
                          <w:rPr>
                            <w:rFonts w:ascii="Liberation Sans" w:hAnsi="Liberation Sans" w:eastAsia="Liberation Sans" w:cs="Liberation Sans"/>
                            <w:b w:val="0"/>
                            <w:color w:val="182B32"/>
                            <w:sz w:val="28"/>
                          </w:rPr>
                          <w:t>Clue: Think about a claim and information.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X5: a workshop sends the same spoken instructions to all participants. One participant cannot access spoken information and requests written instructions containing the same steps. The organiser can provide them. A draft argument says: “Any different format is unfair special treatment.”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a counterargument to the draft using X5.</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a qualified judgement that recognises the value of a consistent rule.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Hope</w:t>
                        </w:r>
                      </w:p>
                      <w:p>
                        <w:pPr>
                          <w:keepLines/>
                          <w:spacing w:after="60" w:before="0" w:line="247" w:lineRule="auto"/>
                        </w:pPr>
                        <w:r>
                          <w:rPr>
                            <w:rFonts w:ascii="Liberation Sans" w:hAnsi="Liberation Sans" w:eastAsia="Liberation Sans" w:cs="Liberation Sans"/>
                            <w:b w:val="0"/>
                            <w:color w:val="182B32"/>
                            <w:sz w:val="28"/>
                          </w:rPr>
                          <w:t>Why did a hopeful plan require more than a positive statement?</w:t>
                        </w:r>
                      </w:p>
                      <w:p>
                        <w:pPr>
                          <w:keepLines/>
                          <w:spacing w:after="60" w:before="0" w:line="247" w:lineRule="auto"/>
                          <w:shd w:fill="E4EFF9"/>
                        </w:pPr>
                        <w:r>
                          <w:rPr>
                            <w:rFonts w:ascii="Liberation Sans" w:hAnsi="Liberation Sans" w:eastAsia="Liberation Sans" w:cs="Liberation Sans"/>
                            <w:b w:val="0"/>
                            <w:color w:val="182B32"/>
                            <w:sz w:val="28"/>
                          </w:rPr>
                          <w:t>Clue: Think about what was and was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Support</w:t>
                        </w:r>
                      </w:p>
                      <w:p>
                        <w:pPr>
                          <w:keepLines/>
                          <w:spacing w:after="60" w:before="0" w:line="247" w:lineRule="auto"/>
                        </w:pPr>
                        <w:r>
                          <w:rPr>
                            <w:rFonts w:ascii="Liberation Sans" w:hAnsi="Liberation Sans" w:eastAsia="Liberation Sans" w:cs="Liberation Sans"/>
                            <w:b w:val="0"/>
                            <w:color w:val="182B32"/>
                            <w:sz w:val="28"/>
                          </w:rPr>
                          <w:t>Explain why changing a goal did not necessarily abandon the project’s purpose.</w:t>
                        </w:r>
                      </w:p>
                      <w:p>
                        <w:pPr>
                          <w:keepLines/>
                          <w:spacing w:after="60" w:before="0" w:line="247" w:lineRule="auto"/>
                          <w:shd w:fill="E4EFF9"/>
                        </w:pPr>
                        <w:r>
                          <w:rPr>
                            <w:rFonts w:ascii="Liberation Sans" w:hAnsi="Liberation Sans" w:eastAsia="Liberation Sans" w:cs="Liberation Sans"/>
                            <w:b w:val="0"/>
                            <w:color w:val="182B32"/>
                            <w:sz w:val="28"/>
                          </w:rPr>
                          <w:t>Clue: Think about the damaged area.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Belief and limits</w:t>
                        </w:r>
                      </w:p>
                      <w:p>
                        <w:pPr>
                          <w:keepLines/>
                          <w:spacing w:after="60" w:before="0" w:line="247" w:lineRule="auto"/>
                        </w:pPr>
                        <w:r>
                          <w:rPr>
                            <w:rFonts w:ascii="Liberation Sans" w:hAnsi="Liberation Sans" w:eastAsia="Liberation Sans" w:cs="Liberation Sans"/>
                            <w:b w:val="0"/>
                            <w:color w:val="182B32"/>
                            <w:sz w:val="28"/>
                          </w:rPr>
                          <w:t>Compare a source’s possible encouragement with a guaranteed outcome claim.</w:t>
                        </w:r>
                      </w:p>
                      <w:p>
                        <w:pPr>
                          <w:keepLines/>
                          <w:spacing w:after="60" w:before="0" w:line="247" w:lineRule="auto"/>
                          <w:shd w:fill="E4EFF9"/>
                        </w:pPr>
                        <w:r>
                          <w:rPr>
                            <w:rFonts w:ascii="Liberation Sans" w:hAnsi="Liberation Sans" w:eastAsia="Liberation Sans" w:cs="Liberation Sans"/>
                            <w:b w:val="0"/>
                            <w:color w:val="182B32"/>
                            <w:sz w:val="28"/>
                          </w:rPr>
                          <w:t>Clue: Think about the limits of that claim.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makes a judgement qualified rather than vague?</w:t>
                        </w:r>
                      </w:p>
                      <w:p>
                        <w:pPr>
                          <w:keepLines/>
                          <w:spacing w:after="60" w:before="0" w:line="247" w:lineRule="auto"/>
                          <w:shd w:fill="E4EFF9"/>
                        </w:pPr>
                        <w:r>
                          <w:rPr>
                            <w:rFonts w:ascii="Liberation Sans" w:hAnsi="Liberation Sans" w:eastAsia="Liberation Sans" w:cs="Liberation Sans"/>
                            <w:b w:val="0"/>
                            <w:color w:val="182B32"/>
                            <w:sz w:val="28"/>
                          </w:rPr>
                          <w:t>Clue: Think about a claim and information.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X5: a workshop sends the same spoken instructions to all participants. One participant cannot access spoken information and requests written instructions containing the same steps. The organiser can provide them. A draft argument says: “Any different format is unfair special treatment.”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Evaluate the draft’s assumption about identical format and equal access.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State a reasoned judgement and a relevant condition that could require further information.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Two argument labels: “I dislike that view” and “This fact challenges the view because…”</w:t>
                  </w:r>
                </w:p>
                <w:p>
                  <w:pPr>
                    <w:keepLines/>
                    <w:spacing w:after="60" w:before="0" w:line="247" w:lineRule="auto"/>
                  </w:pPr>
                  <w:r>
                    <w:rPr>
                      <w:rFonts w:ascii="Liberation Sans" w:hAnsi="Liberation Sans" w:eastAsia="Liberation Sans" w:cs="Liberation Sans"/>
                      <w:b w:val="0"/>
                      <w:color w:val="182B32"/>
                      <w:sz w:val="28"/>
                    </w:rPr>
                    <w:t>Question: Which label begins a reasoned counterargument?</w:t>
                  </w:r>
                </w:p>
                <w:p>
                  <w:pPr>
                    <w:keepLines/>
                    <w:spacing w:after="60" w:before="0" w:line="247" w:lineRule="auto"/>
                  </w:pPr>
                  <w:r>
                    <w:rPr>
                      <w:rFonts w:ascii="Liberation Sans" w:hAnsi="Liberation Sans" w:eastAsia="Liberation Sans" w:cs="Liberation Sans"/>
                      <w:b w:val="0"/>
                      <w:color w:val="182B32"/>
                      <w:sz w:val="28"/>
                    </w:rPr>
                    <w:t>In your book: record one brief choice or reason, unless passing.</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Attend to one model. Locate its claim, evidence and explanation.</w:t>
                  </w:r>
                </w:p>
                <w:p>
                  <w:pPr>
                    <w:keepLines/>
                    <w:spacing w:after="60" w:before="0" w:line="247" w:lineRule="auto"/>
                  </w:pPr>
                  <w:r>
                    <w:rPr>
                      <w:rFonts w:ascii="Liberation Sans" w:hAnsi="Liberation Sans" w:eastAsia="Liberation Sans" w:cs="Liberation Sans"/>
                      <w:b w:val="0"/>
                      <w:color w:val="182B32"/>
                      <w:sz w:val="28"/>
                    </w:rPr>
                    <w:t>Separate authored example: a tool library offers the same opening hours to everyone. That shared rule is predictable, which is a strength. But a claim that equal hours guarantee equal access is too strong if the entrance cannot be used by some visitors. A justified judgement keeps predictable rules while examining access barriers. This model does not answer the reading-guide case.</w:t>
                  </w:r>
                </w:p>
                <w:p>
                  <w:pPr>
                    <w:keepLines/>
                    <w:spacing w:after="60" w:before="0" w:line="247" w:lineRule="auto"/>
                  </w:pPr>
                  <w:r>
                    <w:rPr>
                      <w:rFonts w:ascii="Liberation Sans" w:hAnsi="Liberation Sans" w:eastAsia="Liberation Sans" w:cs="Liberation Sans"/>
                      <w:b w:val="0"/>
                      <w:color w:val="182B32"/>
                      <w:sz w:val="28"/>
                    </w:rPr>
                    <w:t>In your book: keep one useful model link or vocabulary note, marked “model”; no copying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verbal feedback; WS = worked with support; I = independent; NS = one specific next step; E = evidence on the evidence app; R = responded: the loop is closed; // = self-edit point; ? = read this back to 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Q1 using Q2–Q4. Write or direct a point-evidence-explain paragraph, a counterargument with a reply, and a qualified judgement. Use viewpoint, evidence, counterargument and evaluation. Include one relevant source perspective from Q3 accurately. You may judge the supplied view without stating your personal beliefs or needs.</w:t>
                  </w:r>
                </w:p>
                <w:p>
                  <w:pPr>
                    <w:keepLines/>
                    <w:spacing w:after="60" w:before="0" w:line="247" w:lineRule="auto"/>
                    <w:shd w:fill="E4EFF9"/>
                  </w:pPr>
                  <w:r>
                    <w:rPr>
                      <w:rFonts w:ascii="Liberation Sans" w:hAnsi="Liberation Sans" w:eastAsia="Liberation Sans" w:cs="Liberation Sans"/>
                      <w:b w:val="0"/>
                      <w:color w:val="182B32"/>
                      <w:sz w:val="28"/>
                    </w:rPr>
                    <w:t>Help: Judge the claim against the actual facts. A counterargument needs an explained link, not an insult. You can say “depends” if you state the condition.</w:t>
                  </w:r>
                </w:p>
                <w:p>
                  <w:pPr>
                    <w:keepLines/>
                    <w:spacing w:after="60" w:before="0" w:line="247" w:lineRule="auto"/>
                  </w:pPr>
                  <w:r>
                    <w:rPr>
                      <w:rFonts w:ascii="Liberation Sans" w:hAnsi="Liberation Sans" w:eastAsia="Liberation Sans" w:cs="Liberation Sans"/>
                      <w:b w:val="0"/>
                      <w:color w:val="182B32"/>
                      <w:sz w:val="28"/>
                    </w:rPr>
                    <w:t>Blank record: Accurate viewpoint [ ] / Strength and reason [ ] / Case evidence [ ] / Counterargument and explanation [ ] / Reply or limit [ ] / Source perspective [ ] / Qualified evaluation [ ].</w:t>
                  </w:r>
                </w:p>
                <w:p>
                  <w:pPr>
                    <w:keepLines/>
                    <w:spacing w:after="60" w:before="0" w:line="247" w:lineRule="auto"/>
                  </w:pPr>
                  <w:r>
                    <w:rPr>
                      <w:rFonts w:ascii="Liberation Sans" w:hAnsi="Liberation Sans" w:eastAsia="Liberation Sans" w:cs="Liberation Sans"/>
                      <w:b w:val="0"/>
                      <w:color w:val="182B32"/>
                      <w:sz w:val="28"/>
                    </w:rPr>
                    <w:t>Review and improve: Underline the case evidence and its explanation. Add a fair counterargument or qualify an unsupported “always”. Keep the original response visible.</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Q1 using Q2–Q4. Write or direct a point-evidence-explain paragraph, a counterargument with a reply, and a qualified judgement. Use viewpoint, evidence, counterargument and evaluation. Include one relevant source perspective from Q3 accurately. You may judge the supplied view without stating your personal beliefs or needs.</w:t>
                  </w:r>
                </w:p>
                <w:p>
                  <w:pPr>
                    <w:keepLines/>
                    <w:spacing w:after="60" w:before="0" w:line="247" w:lineRule="auto"/>
                  </w:pPr>
                  <w:r>
                    <w:rPr>
                      <w:rFonts w:ascii="Liberation Sans" w:hAnsi="Liberation Sans" w:eastAsia="Liberation Sans" w:cs="Liberation Sans"/>
                      <w:b w:val="0"/>
                      <w:color w:val="182B32"/>
                      <w:sz w:val="28"/>
                    </w:rPr>
                    <w:t>Steps: 1. Read one source strip. 2. Select the relevant detail. 3. Record your claim. 4. Explain its link. 5. Check one limit.</w:t>
                  </w:r>
                </w:p>
                <w:p>
                  <w:pPr>
                    <w:keepLines/>
                    <w:spacing w:after="60" w:before="0" w:line="247" w:lineRule="auto"/>
                  </w:pPr>
                  <w:r>
                    <w:rPr>
                      <w:rFonts w:ascii="Liberation Sans" w:hAnsi="Liberation Sans" w:eastAsia="Liberation Sans" w:cs="Liberation Sans"/>
                      <w:b w:val="0"/>
                      <w:color w:val="182B32"/>
                      <w:sz w:val="28"/>
                    </w:rPr>
                    <w:t>Planning words: viewpoint, evidence, counterargument, evaluation.</w:t>
                  </w:r>
                </w:p>
                <w:p>
                  <w:pPr>
                    <w:keepLines/>
                    <w:spacing w:after="60" w:before="0" w:line="247" w:lineRule="auto"/>
                    <w:shd w:fill="E4EFF9"/>
                  </w:pPr>
                  <w:r>
                    <w:rPr>
                      <w:rFonts w:ascii="Liberation Sans" w:hAnsi="Liberation Sans" w:eastAsia="Liberation Sans" w:cs="Liberation Sans"/>
                      <w:b w:val="0"/>
                      <w:color w:val="182B32"/>
                      <w:sz w:val="28"/>
                    </w:rPr>
                    <w:t>Help: Judge the claim against the actual facts. A counterargument needs an explained link, not an insult. You can say “depends” if you state the condition.</w:t>
                  </w:r>
                </w:p>
                <w:p>
                  <w:pPr>
                    <w:keepLines/>
                    <w:spacing w:after="60" w:before="0" w:line="247" w:lineRule="auto"/>
                  </w:pPr>
                  <w:r>
                    <w:rPr>
                      <w:rFonts w:ascii="Liberation Sans" w:hAnsi="Liberation Sans" w:eastAsia="Liberation Sans" w:cs="Liberation Sans"/>
                      <w:b w:val="0"/>
                      <w:color w:val="182B32"/>
                      <w:sz w:val="28"/>
                    </w:rPr>
                    <w:t>Blank record: Accurate viewpoint [ ] / Strength and reason [ ] / Case evidence [ ] / Counterargument and explanation [ ] / Reply or limit [ ] / Source perspective [ ] / Qualified evaluation [ ].</w:t>
                  </w:r>
                </w:p>
                <w:p>
                  <w:pPr>
                    <w:keepLines/>
                    <w:spacing w:after="60" w:before="0" w:line="247" w:lineRule="auto"/>
                  </w:pPr>
                  <w:r>
                    <w:rPr>
                      <w:rFonts w:ascii="Liberation Sans" w:hAnsi="Liberation Sans" w:eastAsia="Liberation Sans" w:cs="Liberation Sans"/>
                      <w:b w:val="0"/>
                      <w:color w:val="182B32"/>
                      <w:sz w:val="28"/>
                    </w:rPr>
                    <w:t>Review and improve: Underline the case evidence and its explanation. Add a fair counterargument or qualify an unsupported “always”. Keep the original response visible.</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Q1 using Q2–Q4. Write or direct a point-evidence-explain paragraph, a counterargument with a reply, and a qualified judgement. Use viewpoint, evidence, counterargument and evaluation. Include one relevant source perspective from Q3 accurately. You may judge the supplied view without stating your personal beliefs or needs.</w:t>
                  </w:r>
                </w:p>
                <w:p>
                  <w:pPr>
                    <w:keepLines/>
                    <w:spacing w:after="60" w:before="0" w:line="247" w:lineRule="auto"/>
                  </w:pPr>
                  <w:r>
                    <w:rPr>
                      <w:rFonts w:ascii="Liberation Sans" w:hAnsi="Liberation Sans" w:eastAsia="Liberation Sans" w:cs="Liberation Sans"/>
                      <w:b w:val="0"/>
                      <w:color w:val="182B32"/>
                      <w:sz w:val="28"/>
                    </w:rPr>
                    <w:t>Choose a judgement to develop: identical support is always fair / consistent criteria can allow different support / the evidence is insufficient for every situation. Add your own reason from Q2, then address one strength of Q1 and one source perspective.</w:t>
                  </w:r>
                </w:p>
                <w:p>
                  <w:pPr>
                    <w:keepLines/>
                    <w:spacing w:after="60" w:before="0" w:line="247" w:lineRule="auto"/>
                    <w:shd w:fill="E4EFF9"/>
                  </w:pPr>
                  <w:r>
                    <w:rPr>
                      <w:rFonts w:ascii="Liberation Sans" w:hAnsi="Liberation Sans" w:eastAsia="Liberation Sans" w:cs="Liberation Sans"/>
                      <w:b w:val="0"/>
                      <w:color w:val="182B32"/>
                      <w:sz w:val="28"/>
                    </w:rPr>
                    <w:t>Help: Judge the claim against the actual facts. A counterargument needs an explained link, not an insult. You can say “depends” if you state the condition.</w:t>
                  </w:r>
                </w:p>
                <w:p>
                  <w:pPr>
                    <w:keepLines/>
                    <w:spacing w:after="60" w:before="0" w:line="247" w:lineRule="auto"/>
                  </w:pPr>
                  <w:r>
                    <w:rPr>
                      <w:rFonts w:ascii="Liberation Sans" w:hAnsi="Liberation Sans" w:eastAsia="Liberation Sans" w:cs="Liberation Sans"/>
                      <w:b w:val="0"/>
                      <w:color w:val="182B32"/>
                      <w:sz w:val="28"/>
                    </w:rPr>
                    <w:t>Blank record: Accurate viewpoint [ ] / Strength and reason [ ] / Case evidence [ ] / Counterargument and explanation [ ] / Reply or limit [ ] / Source perspective [ ] / Qualified evaluation [ ].</w:t>
                  </w:r>
                </w:p>
                <w:p>
                  <w:pPr>
                    <w:keepLines/>
                    <w:spacing w:after="60" w:before="0" w:line="247" w:lineRule="auto"/>
                  </w:pPr>
                  <w:r>
                    <w:rPr>
                      <w:rFonts w:ascii="Liberation Sans" w:hAnsi="Liberation Sans" w:eastAsia="Liberation Sans" w:cs="Liberation Sans"/>
                      <w:b w:val="0"/>
                      <w:color w:val="182B32"/>
                      <w:sz w:val="28"/>
                    </w:rPr>
                    <w:t>Review and improve: Underline the case evidence and its explanation. Add a fair counterargument or qualify an unsupported “always”. Keep the original response visible.</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Evaluate Q1 using Q2–Q4. Write or direct a point-evidence-explain paragraph, a counterargument with a reply, and a qualified judgement. Use viewpoint, evidence, counterargument and evaluation. Include one relevant source perspective from Q3 accurately. You may judge the supplied view without stating your personal beliefs or needs.</w:t>
                  </w:r>
                </w:p>
                <w:p>
                  <w:pPr>
                    <w:keepLines/>
                    <w:spacing w:after="60" w:before="0" w:line="247" w:lineRule="auto"/>
                  </w:pPr>
                  <w:r>
                    <w:rPr>
                      <w:rFonts w:ascii="Liberation Sans" w:hAnsi="Liberation Sans" w:eastAsia="Liberation Sans" w:cs="Liberation Sans"/>
                      <w:b w:val="0"/>
                      <w:color w:val="182B32"/>
                      <w:sz w:val="28"/>
                    </w:rPr>
                    <w:t>Aspire: What further fact could weaken your judgement about this case? Identify a relevant constraint without inventing it as true, and explain how it could affect the balance.</w:t>
                  </w:r>
                </w:p>
                <w:p>
                  <w:pPr>
                    <w:keepLines/>
                    <w:spacing w:after="60" w:before="0" w:line="247" w:lineRule="auto"/>
                    <w:shd w:fill="E4EFF9"/>
                  </w:pPr>
                  <w:r>
                    <w:rPr>
                      <w:rFonts w:ascii="Liberation Sans" w:hAnsi="Liberation Sans" w:eastAsia="Liberation Sans" w:cs="Liberation Sans"/>
                      <w:b w:val="0"/>
                      <w:color w:val="182B32"/>
                      <w:sz w:val="28"/>
                    </w:rPr>
                    <w:t>Help: Judge the claim against the actual facts. A counterargument needs an explained link, not an insult. You can say “depends” if you state the condition.</w:t>
                  </w:r>
                </w:p>
                <w:p>
                  <w:pPr>
                    <w:keepLines/>
                    <w:spacing w:after="60" w:before="0" w:line="247" w:lineRule="auto"/>
                  </w:pPr>
                  <w:r>
                    <w:rPr>
                      <w:rFonts w:ascii="Liberation Sans" w:hAnsi="Liberation Sans" w:eastAsia="Liberation Sans" w:cs="Liberation Sans"/>
                      <w:b w:val="0"/>
                      <w:color w:val="182B32"/>
                      <w:sz w:val="28"/>
                    </w:rPr>
                    <w:t>Blank record: Accurate viewpoint [ ] / Strength and reason [ ] / Case evidence [ ] / Counterargument and explanation [ ] / Reply or limit [ ] / Source perspective [ ] / Qualified evaluation [ ].</w:t>
                  </w:r>
                </w:p>
                <w:p>
                  <w:pPr>
                    <w:keepLines/>
                    <w:spacing w:after="60" w:before="0" w:line="247" w:lineRule="auto"/>
                  </w:pPr>
                  <w:r>
                    <w:rPr>
                      <w:rFonts w:ascii="Liberation Sans" w:hAnsi="Liberation Sans" w:eastAsia="Liberation Sans" w:cs="Liberation Sans"/>
                      <w:b w:val="0"/>
                      <w:color w:val="182B32"/>
                      <w:sz w:val="28"/>
                    </w:rPr>
                    <w:t>Review and improve: Underline the case evidence and its explanation. Add a fair counterargument or qualify an unsupported “always”. Keep the original response visible.</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check</w:t>
                  </w:r>
                </w:p>
                <w:p>
                  <w:pPr>
                    <w:keepLines/>
                    <w:spacing w:after="60" w:before="0" w:line="247" w:lineRule="auto"/>
                  </w:pPr>
                  <w:r>
                    <w:rPr>
                      <w:rFonts w:ascii="Liberation Sans" w:hAnsi="Liberation Sans" w:eastAsia="Liberation Sans" w:cs="Liberation Sans"/>
                      <w:b w:val="0"/>
                      <w:color w:val="182B32"/>
                      <w:sz w:val="28"/>
                    </w:rPr>
                    <w:t>Use the named source to complete the empty spaces. Keep the claim within what the source can show.</w:t>
                  </w:r>
                </w:p>
                <w:p>
                  <w:pPr>
                    <w:keepLines/>
                    <w:spacing w:after="60" w:before="0" w:line="247" w:lineRule="auto"/>
                  </w:pPr>
                  <w:r>
                    <w:rPr>
                      <w:rFonts w:ascii="Liberation Sans" w:hAnsi="Liberation Sans" w:eastAsia="Liberation Sans" w:cs="Liberation Sans"/>
                      <w:b w:val="0"/>
                      <w:color w:val="182B32"/>
                      <w:sz w:val="28"/>
                    </w:rPr>
                    <w:t>A blank source box links to empty spaces for what it shows and what it cannot show.</w:t>
                  </w:r>
                </w:p>
                <w:p>
                  <w:pPr>
                    <w:keepLines/>
                    <w:spacing w:after="60" w:before="0" w:line="247" w:lineRule="auto"/>
                  </w:pPr>
                  <w:r>
                    <w:rPr>
                      <w:rFonts w:ascii="Liberation Sans" w:hAnsi="Liberation Sans" w:eastAsia="Liberation Sans" w:cs="Liberation Sans"/>
                      <w:b w:val="0"/>
                      <w:color w:val="182B32"/>
                      <w:sz w:val="28"/>
                    </w:rPr>
                    <w:t>picture #A5DCEF: the study panel behind the diagram</w:t>
                  </w:r>
                </w:p>
                <w:p>
                  <w:pPr>
                    <w:keepLines/>
                    <w:spacing w:after="60" w:before="0" w:line="247" w:lineRule="auto"/>
                  </w:pPr>
                  <w:r>
                    <w:rPr>
                      <w:rFonts w:ascii="Liberation Sans" w:hAnsi="Liberation Sans" w:eastAsia="Liberation Sans" w:cs="Liberation Sans"/>
                      <w:b w:val="0"/>
                      <w:color w:val="182B32"/>
                      <w:sz w:val="28"/>
                    </w:rPr>
                    <w:t>picture #17324D: diagram labels and links</w:t>
                  </w:r>
                </w:p>
                <w:p>
                  <w:pPr>
                    <w:keepLines/>
                    <w:spacing w:after="60" w:before="0" w:line="247" w:lineRule="auto"/>
                  </w:pPr>
                  <w:r>
                    <w:rPr>
                      <w:rFonts w:ascii="Liberation Sans" w:hAnsi="Liberation Sans" w:eastAsia="Liberation Sans" w:cs="Liberation Sans"/>
                      <w:b w:val="0"/>
                      <w:color w:val="182B32"/>
                      <w:sz w:val="28"/>
                    </w:rPr>
                    <w:t>picture #FFFFFF: empty source and claim spaces</w:t>
                  </w:r>
                </w:p>
                <w:p>
                  <w:pPr>
                    <w:spacing w:after="60"/>
                    <w:jc w:val="center"/>
                  </w:pPr>
                  <w:r>
                    <w:drawing>
                      <wp:inline distT="0" distB="0" distL="0" distR="0">
                        <wp:extent cx="4937142" cy="1728000"/>
                        <wp:docPr id="17" name="Lesson diagram" descr="A blank source box links to empty spaces for what it shows and what it cannot sh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 y="65000"/>
                                    <ns0:ext cx="170000" cy="80000"/>
                                  </ns0:xfrm>
                                  <ns0:custGeom>
                                    <ns0:avLst/>
                                    <ns0:gdLst/>
                                    <ns0:ahLst/>
                                    <ns0:cxnLst/>
                                    <ns0:rect l="0" t="0" r="r" b="b"/>
                                    <ns0:pathLst>
                                      <ns0:path w="170000" h="80000">
                                        <ns0:moveTo>
                                          <ns0:pt x="0" y="0"/>
                                        </ns0:moveTo>
                                        <ns0:lnTo>
                                          <ns0:pt x="170000" y="0"/>
                                        </ns0:lnTo>
                                        <ns0:lnTo>
                                          <ns0:pt x="170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3000" y="89000"/>
                                    <ns0:ext cx="68854" cy="26237"/>
                                  </ns0:xfrm>
                                  <ns0:prstGeom prst="rect">
                                    <ns0:avLst/>
                                  </ns0:prstGeom>
                                  <ns0:noFill/>
                                  <ns0:ln w="8228">
                                    <ns0:noFill/>
                                  </ns0:ln>
                                </wps:spPr>
                                <wps:txbx>
                                  <w:txbxContent>
                                    <w:p>
                                      <w:r>
                                        <w:rPr>
                                          <w:rFonts w:ascii="Liberation Sans" w:hAnsi="Liberation Sans" w:eastAsia="Liberation Sans" w:cs="Liberation Sans"/>
                                          <w:sz w:val="28"/>
                                          <w:color w:val="17324d"/>
                                        </w:rPr>
                                        <w:t>source</w:t>
                                      </w:r>
                                    </w:p>
                                  </w:txbxContent>
                                </wps:txbx>
                                <wps:bodyPr lIns="0" tIns="0" rIns="0" bIns="0" anchor="t">
                                  <ns0:noAutofit/>
                                </wps:bodyPr>
                              </wps:wsp>
                              <wps:wsp>
                                <wps:cNvSpPr txBox="0"/>
                                <wps:spPr>
                                  <ns0:xfrm flipV="1">
                                    <ns0:off x="195000" y="5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195000" y="10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1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10000" y="15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34000" y="39000"/>
                                    <ns0:ext cx="65246" cy="26237"/>
                                  </ns0:xfrm>
                                  <ns0:prstGeom prst="rect">
                                    <ns0:avLst/>
                                  </ns0:prstGeom>
                                  <ns0:noFill/>
                                  <ns0:ln w="8228">
                                    <ns0:noFill/>
                                  </ns0:ln>
                                </wps:spPr>
                                <wps:txbx>
                                  <w:txbxContent>
                                    <w:p>
                                      <w:r>
                                        <w:rPr>
                                          <w:rFonts w:ascii="Liberation Sans" w:hAnsi="Liberation Sans" w:eastAsia="Liberation Sans" w:cs="Liberation Sans"/>
                                          <w:sz w:val="28"/>
                                          <w:color w:val="17324d"/>
                                        </w:rPr>
                                        <w:t>shows</w:t>
                                      </w:r>
                                    </w:p>
                                  </w:txbxContent>
                                </wps:txbx>
                                <wps:bodyPr lIns="0" tIns="0" rIns="0" bIns="0" anchor="t">
                                  <ns0:noAutofit/>
                                </wps:bodyPr>
                              </wps:wsp>
                              <wps:wsp>
                                <wps:cNvSpPr txBox="0"/>
                                <wps:spPr>
                                  <ns0:xfrm>
                                    <ns0:off x="310000" y="120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18000" y="145000"/>
                                    <ns0:ext cx="125321" cy="26237"/>
                                  </ns0:xfrm>
                                  <ns0:prstGeom prst="rect">
                                    <ns0:avLst/>
                                  </ns0:prstGeom>
                                  <ns0:noFill/>
                                  <ns0:ln w="8228">
                                    <ns0:noFill/>
                                  </ns0:ln>
                                </wps:spPr>
                                <wps:txbx>
                                  <w:txbxContent>
                                    <w:p>
                                      <w:r>
                                        <w:rPr>
                                          <w:rFonts w:ascii="Liberation Sans" w:hAnsi="Liberation Sans" w:eastAsia="Liberation Sans" w:cs="Liberation Sans"/>
                                          <w:sz w:val="28"/>
                                          <w:color w:val="17324d"/>
                                        </w:rPr>
                                        <w:t>cannot show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Q1 · Authored viewpoint; not testimony</w:t>
                        </w:r>
                      </w:p>
                      <w:p>
                        <w:pPr>
                          <w:keepLines/>
                          <w:spacing w:after="60" w:before="0" w:line="247" w:lineRule="auto"/>
                        </w:pPr>
                        <w:r>
                          <w:rPr>
                            <w:rFonts w:ascii="Liberation Sans" w:hAnsi="Liberation Sans" w:eastAsia="Liberation Sans" w:cs="Liberation Sans"/>
                            <w:b w:val="0"/>
                            <w:color w:val="182B32"/>
                            <w:sz w:val="28"/>
                          </w:rPr>
                          <w:t>“Fairness means giving every person exactly the same support.” The writer argues that a shared rule avoids favouritism and makes decisions predictable. This is a position to evaluate, not the lesson’s required conclusion.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Q2 · Authored community case</w:t>
                        </w:r>
                      </w:p>
                      <w:p>
                        <w:pPr>
                          <w:keepLines/>
                          <w:spacing w:after="60" w:before="0" w:line="247" w:lineRule="auto"/>
                        </w:pPr>
                        <w:r>
                          <w:rPr>
                            <w:rFonts w:ascii="Liberation Sans" w:hAnsi="Liberation Sans" w:eastAsia="Liberation Sans" w:cs="Liberation Sans"/>
                            <w:b w:val="0"/>
                            <w:color w:val="182B32"/>
                            <w:sz w:val="28"/>
                          </w:rPr>
                          <w:t>A community reading session uses a short printed guide. One visitor cannot read the small print and asks for a larger-print version. Another asks for the whole guide to be read aloud. Both adjustments keep the same information and do not remove anyone else’s guide. The organiser can prepare the larger print and arrange a reader. No pupil access need is requested or assumed.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Q3 · Source perspectives</w:t>
                        </w:r>
                      </w:p>
                      <w:p>
                        <w:pPr>
                          <w:keepLines/>
                          <w:spacing w:after="60" w:before="0" w:line="247" w:lineRule="auto"/>
                        </w:pPr>
                        <w:r>
                          <w:rPr>
                            <w:rFonts w:ascii="Liberation Sans" w:hAnsi="Liberation Sans" w:eastAsia="Liberation Sans" w:cs="Liberation Sans"/>
                            <w:b w:val="0"/>
                            <w:color w:val="182B32"/>
                            <w:sz w:val="28"/>
                          </w:rPr>
                          <w:t>The Christian caring account describes helping across a community boundary; some believers apply it to attending to another person’s need. This humanist account uses evidence, empathy and discussion to consider consequences. Both may support removing an access barrier, though members can disagree about means or priorities. These are source-based classroom applications, not quotations from believers.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2D7F5"/>
                      </w:tcPr>
                      <w:p>
                        <w:pPr>
                          <w:spacing w:after="60"/>
                          <w:shd w:fill="FFFFFF"/>
                        </w:pPr>
                        <w:r>
                          <w:rPr>
                            <w:rFonts w:ascii="Liberation Sans" w:hAnsi="Liberation Sans" w:eastAsia="Liberation Sans" w:cs="Liberation Sans"/>
                            <w:b/>
                            <w:color w:val="182B32"/>
                            <w:sz w:val="28"/>
                          </w:rPr>
                          <w:t>Q4 · Evaluation criteria</w:t>
                        </w:r>
                      </w:p>
                      <w:p>
                        <w:pPr>
                          <w:keepLines/>
                          <w:spacing w:after="60" w:before="0" w:line="247" w:lineRule="auto"/>
                        </w:pPr>
                        <w:r>
                          <w:rPr>
                            <w:rFonts w:ascii="Liberation Sans" w:hAnsi="Liberation Sans" w:eastAsia="Liberation Sans" w:cs="Liberation Sans"/>
                            <w:b w:val="0"/>
                            <w:color w:val="182B32"/>
                            <w:sz w:val="28"/>
                          </w:rPr>
                          <w:t>Represent the viewpoint accurately. Give a relevant strength. Test it with case evidence and a counterargument. Explain a reply or limit. End with a judgement that states when the claim may or may not hold. Evaluate the argument, not the worth of the people who hold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viewpoint</w:t>
                  </w:r>
                </w:p>
                <w:p>
                  <w:pPr>
                    <w:keepLines/>
                    <w:spacing w:after="60" w:before="0" w:line="247" w:lineRule="auto"/>
                  </w:pPr>
                  <w:r>
                    <w:rPr>
                      <w:rFonts w:ascii="Liberation Sans" w:hAnsi="Liberation Sans" w:eastAsia="Liberation Sans" w:cs="Liberation Sans"/>
                      <w:b w:val="0"/>
                      <w:color w:val="182B32"/>
                      <w:sz w:val="28"/>
                    </w:rPr>
                    <w:t>a position or judgement about a question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evidence</w:t>
                  </w:r>
                </w:p>
                <w:p>
                  <w:pPr>
                    <w:keepLines/>
                    <w:spacing w:after="60" w:before="0" w:line="247" w:lineRule="auto"/>
                  </w:pPr>
                  <w:r>
                    <w:rPr>
                      <w:rFonts w:ascii="Liberation Sans" w:hAnsi="Liberation Sans" w:eastAsia="Liberation Sans" w:cs="Liberation Sans"/>
                      <w:b w:val="0"/>
                      <w:color w:val="182B32"/>
                      <w:sz w:val="28"/>
                    </w:rPr>
                    <w:t>information used to support or test a claim</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counterargument</w:t>
                  </w:r>
                </w:p>
                <w:p>
                  <w:pPr>
                    <w:keepLines/>
                    <w:spacing w:after="60" w:before="0" w:line="247" w:lineRule="auto"/>
                  </w:pPr>
                  <w:r>
                    <w:rPr>
                      <w:rFonts w:ascii="Liberation Sans" w:hAnsi="Liberation Sans" w:eastAsia="Liberation Sans" w:cs="Liberation Sans"/>
                      <w:b w:val="0"/>
                      <w:color w:val="182B32"/>
                      <w:sz w:val="28"/>
                    </w:rPr>
                    <w:t>a reason that challenges a position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evaluation</w:t>
                  </w:r>
                </w:p>
                <w:p>
                  <w:pPr>
                    <w:keepLines/>
                    <w:spacing w:after="60" w:before="0" w:line="247" w:lineRule="auto"/>
                  </w:pPr>
                  <w:r>
                    <w:rPr>
                      <w:rFonts w:ascii="Liberation Sans" w:hAnsi="Liberation Sans" w:eastAsia="Liberation Sans" w:cs="Liberation Sans"/>
                      <w:b w:val="0"/>
                      <w:color w:val="182B32"/>
                      <w:sz w:val="28"/>
                    </w:rPr>
                    <w:t>a reasoned judgement about strengths and limitations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6"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vocabulary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viewpoint</w:t>
                  </w:r>
                </w:p>
                <w:p>
                  <w:pPr>
                    <w:keepLines/>
                    <w:spacing w:after="60" w:before="0" w:line="247" w:lineRule="auto"/>
                  </w:pPr>
                  <w:r>
                    <w:rPr>
                      <w:rFonts w:ascii="Liberation Sans" w:hAnsi="Liberation Sans" w:eastAsia="Liberation Sans" w:cs="Liberation Sans"/>
                      <w:b w:val="0"/>
                      <w:color w:val="182B32"/>
                      <w:sz w:val="28"/>
                    </w:rPr>
                    <w:t>a position or judgement about a question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8"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evidence</w:t>
                  </w:r>
                </w:p>
                <w:p>
                  <w:pPr>
                    <w:keepLines/>
                    <w:spacing w:after="60" w:before="0" w:line="247" w:lineRule="auto"/>
                  </w:pPr>
                  <w:r>
                    <w:rPr>
                      <w:rFonts w:ascii="Liberation Sans" w:hAnsi="Liberation Sans" w:eastAsia="Liberation Sans" w:cs="Liberation Sans"/>
                      <w:b w:val="0"/>
                      <w:color w:val="182B32"/>
                      <w:sz w:val="28"/>
                    </w:rPr>
                    <w:t>information used to support or test a claim</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counterargument</w:t>
                  </w:r>
                </w:p>
                <w:p>
                  <w:pPr>
                    <w:keepLines/>
                    <w:spacing w:after="60" w:before="0" w:line="247" w:lineRule="auto"/>
                  </w:pPr>
                  <w:r>
                    <w:rPr>
                      <w:rFonts w:ascii="Liberation Sans" w:hAnsi="Liberation Sans" w:eastAsia="Liberation Sans" w:cs="Liberation Sans"/>
                      <w:b w:val="0"/>
                      <w:color w:val="182B32"/>
                      <w:sz w:val="28"/>
                    </w:rPr>
                    <w:t>a reason that challenges a position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evaluation</w:t>
                  </w:r>
                </w:p>
                <w:p>
                  <w:pPr>
                    <w:keepLines/>
                    <w:spacing w:after="60" w:before="0" w:line="247" w:lineRule="auto"/>
                  </w:pPr>
                  <w:r>
                    <w:rPr>
                      <w:rFonts w:ascii="Liberation Sans" w:hAnsi="Liberation Sans" w:eastAsia="Liberation Sans" w:cs="Liberation Sans"/>
                      <w:b w:val="0"/>
                      <w:color w:val="182B32"/>
                      <w:sz w:val="28"/>
                    </w:rPr>
                    <w:t>a reasoned judgement about strengths and limitations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1. Use Q5 only. Identify the missing evidence and explanation in the weak draft.</w:t>
                  </w:r>
                </w:p>
                <w:p>
                  <w:pPr>
                    <w:keepLines/>
                    <w:spacing w:after="60" w:before="0" w:line="247" w:lineRule="auto"/>
                  </w:pPr>
                  <w:r>
                    <w:rPr>
                      <w:rFonts w:ascii="Liberation Sans" w:hAnsi="Liberation Sans" w:eastAsia="Liberation Sans" w:cs="Liberation Sans"/>
                      <w:b w:val="0"/>
                      <w:color w:val="182B32"/>
                      <w:sz w:val="28"/>
                    </w:rPr>
                    <w:t>2. Record an improved point-evidence-explain sentence about the tool library.</w:t>
                  </w:r>
                </w:p>
                <w:p>
                  <w:pPr>
                    <w:keepLines/>
                    <w:spacing w:after="60" w:before="0" w:line="247" w:lineRule="auto"/>
                  </w:pPr>
                  <w:r>
                    <w:rPr>
                      <w:rFonts w:ascii="Liberation Sans" w:hAnsi="Liberation Sans" w:eastAsia="Liberation Sans" w:cs="Liberation Sans"/>
                      <w:b w:val="0"/>
                      <w:color w:val="182B32"/>
                      <w:sz w:val="28"/>
                    </w:rPr>
                    <w:t>3. Add the strongest fair reason for shared opening hours before qualifying the judgement.</w:t>
                  </w:r>
                </w:p>
                <w:p>
                  <w:pPr>
                    <w:keepLines/>
                    <w:spacing w:after="60" w:before="0" w:line="247" w:lineRule="auto"/>
                  </w:pPr>
                  <w:r>
                    <w:rPr>
                      <w:rFonts w:ascii="Liberation Sans" w:hAnsi="Liberation Sans" w:eastAsia="Liberation Sans" w:cs="Liberation Sans"/>
                      <w:b w:val="0"/>
                      <w:color w:val="182B32"/>
                      <w:sz w:val="28"/>
                    </w:rPr>
                    <w:t>In your book: record one guided example and one pupil-owned explanation or correction.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Q1 · Authored viewpoint; not testimony</w:t>
                        </w:r>
                      </w:p>
                      <w:p>
                        <w:pPr>
                          <w:keepLines/>
                          <w:spacing w:after="60" w:before="0" w:line="247" w:lineRule="auto"/>
                        </w:pPr>
                        <w:r>
                          <w:rPr>
                            <w:rFonts w:ascii="Liberation Sans" w:hAnsi="Liberation Sans" w:eastAsia="Liberation Sans" w:cs="Liberation Sans"/>
                            <w:b w:val="0"/>
                            <w:color w:val="182B32"/>
                            <w:sz w:val="28"/>
                          </w:rPr>
                          <w:t>“Fairness means giving every person exactly the same support.” The writer argues that a shared rule avoids favouritism and makes decisions predictable. This is a position to evaluate, not the lesson’s required conclusion.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Q2 · Authored community case</w:t>
                        </w:r>
                      </w:p>
                      <w:p>
                        <w:pPr>
                          <w:keepLines/>
                          <w:spacing w:after="60" w:before="0" w:line="247" w:lineRule="auto"/>
                        </w:pPr>
                        <w:r>
                          <w:rPr>
                            <w:rFonts w:ascii="Liberation Sans" w:hAnsi="Liberation Sans" w:eastAsia="Liberation Sans" w:cs="Liberation Sans"/>
                            <w:b w:val="0"/>
                            <w:color w:val="182B32"/>
                            <w:sz w:val="28"/>
                          </w:rPr>
                          <w:t>A community reading session uses a short printed guide. One visitor cannot read the small print and asks for a larger-print version. Another asks for the whole guide to be read aloud. Both adjustments keep the same information and do not remove anyone else’s guide. The organiser can prepare the larger print and arrange a reader. No pupil access need is requested or assumed.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5 · LAUNCH-RE-S1-W05 · Date __________</w:t>
            </w:r>
          </w:p>
          <w:p>
            <w:pPr>
              <w:spacing w:after="40"/>
            </w:pPr>
            <w:r>
              <w:rPr>
                <w:rFonts w:ascii="Liberation Sans" w:hAnsi="Liberation Sans" w:eastAsia="Liberation Sans" w:cs="Liberation Sans"/>
                <w:b/>
                <w:color w:val="182B32"/>
                <w:sz w:val="32"/>
              </w:rPr>
              <w:t>Is treating everyone identically always fair?</w:t>
            </w:r>
          </w:p>
          <w:p>
            <w:pPr>
              <w:spacing w:after="40"/>
              <w:shd w:fill="FFE4C8"/>
            </w:pPr>
            <w:r>
              <w:rPr>
                <w:rFonts w:ascii="Liberation Sans" w:hAnsi="Liberation Sans" w:eastAsia="Liberation Sans" w:cs="Liberation Sans"/>
                <w:b w:val="0"/>
                <w:color w:val="182B32"/>
                <w:sz w:val="28"/>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Q3 · Source perspectives</w:t>
                        </w:r>
                      </w:p>
                      <w:p>
                        <w:pPr>
                          <w:keepLines/>
                          <w:spacing w:after="60" w:before="0" w:line="247" w:lineRule="auto"/>
                        </w:pPr>
                        <w:r>
                          <w:rPr>
                            <w:rFonts w:ascii="Liberation Sans" w:hAnsi="Liberation Sans" w:eastAsia="Liberation Sans" w:cs="Liberation Sans"/>
                            <w:b w:val="0"/>
                            <w:color w:val="182B32"/>
                            <w:sz w:val="28"/>
                          </w:rPr>
                          <w:t>The Christian caring account describes helping across a community boundary; some believers apply it to attending to another person’s need. This humanist account uses evidence, empathy and discussion to consider consequences. Both may support removing an access barrier, though members can disagree about means or priorities. These are source-based classroom applications, not quotations from believers.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Q4 · Evaluation criteria</w:t>
                        </w:r>
                      </w:p>
                      <w:p>
                        <w:pPr>
                          <w:keepLines/>
                          <w:spacing w:after="60" w:before="0" w:line="247" w:lineRule="auto"/>
                        </w:pPr>
                        <w:r>
                          <w:rPr>
                            <w:rFonts w:ascii="Liberation Sans" w:hAnsi="Liberation Sans" w:eastAsia="Liberation Sans" w:cs="Liberation Sans"/>
                            <w:b w:val="0"/>
                            <w:color w:val="182B32"/>
                            <w:sz w:val="28"/>
                          </w:rPr>
                          <w:t>Represent the viewpoint accurately. Give a relevant strength. Test it with case evidence and a counterargument. Explain a reply or limit. End with a judgement that states when the claim may or may not hold. Evaluate the argument, not the worth of the people who hold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Q5 · Separate authored weak-response practice</w:t>
                        </w:r>
                      </w:p>
                      <w:p>
                        <w:pPr>
                          <w:keepLines/>
                          <w:spacing w:after="60" w:before="0" w:line="247" w:lineRule="auto"/>
                        </w:pPr>
                        <w:r>
                          <w:rPr>
                            <w:rFonts w:ascii="Liberation Sans" w:hAnsi="Liberation Sans" w:eastAsia="Liberation Sans" w:cs="Liberation Sans"/>
                            <w:b w:val="0"/>
                            <w:color w:val="182B32"/>
                            <w:sz w:val="28"/>
                          </w:rPr>
                          <w:t>A tool library offers the same opening hours to everyone, but some visitors cannot use its entrance. Weak draft: “The opening-hours rule is bad. Everyone knows it. Changing the entrance is nice.” This is a separate practice case, not the reading-guide answer.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Last lesson linked source beliefs to possible hope or resilience while recognising practical needs. A checked smaller garden plan, support and permission to pause mattered. Belief could support meaning or motivation without guaranteeing success; a setback did not prove weak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No. It supported a worthwhile possibility; no later outcome was known.</w:t>
                  </w:r>
                </w:p>
                <w:p>
                  <w:pPr>
                    <w:keepLines/>
                    <w:spacing w:after="60" w:before="0" w:line="247" w:lineRule="auto"/>
                  </w:pPr>
                  <w:r>
                    <w:rPr>
                      <w:rFonts w:ascii="Liberation Sans" w:hAnsi="Liberation Sans" w:eastAsia="Liberation Sans" w:cs="Liberation Sans"/>
                      <w:b w:val="0"/>
                      <w:color w:val="182B32"/>
                      <w:sz w:val="22"/>
                    </w:rPr>
                    <w:t>2. A trained adult’s safety check and repair using the available materials.</w:t>
                  </w:r>
                </w:p>
                <w:p>
                  <w:pPr>
                    <w:keepLines/>
                    <w:spacing w:after="60" w:before="0" w:line="247" w:lineRule="auto"/>
                  </w:pPr>
                  <w:r>
                    <w:rPr>
                      <w:rFonts w:ascii="Liberation Sans" w:hAnsi="Liberation Sans" w:eastAsia="Liberation Sans" w:cs="Liberation Sans"/>
                      <w:b w:val="0"/>
                      <w:color w:val="182B32"/>
                      <w:sz w:val="22"/>
                    </w:rPr>
                    <w:t>3. No. Outcomes depend on many circumstances; the sources did not establish that blame.</w:t>
                  </w:r>
                </w:p>
                <w:p>
                  <w:pPr>
                    <w:keepLines/>
                    <w:spacing w:after="60" w:before="0" w:line="247" w:lineRule="auto"/>
                  </w:pPr>
                  <w:r>
                    <w:rPr>
                      <w:rFonts w:ascii="Liberation Sans" w:hAnsi="Liberation Sans" w:eastAsia="Liberation Sans" w:cs="Liberation Sans"/>
                      <w:b w:val="0"/>
                      <w:color w:val="182B32"/>
                      <w:sz w:val="22"/>
                    </w:rPr>
                    <w:t>4. Relevant evidence and reasons, including a possible counterargument.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Available materials supported one bed and the adult check addressed safety; the goal was possible without a guarantee.</w:t>
                  </w:r>
                </w:p>
                <w:p>
                  <w:pPr>
                    <w:keepLines/>
                    <w:spacing w:after="60" w:before="0" w:line="247" w:lineRule="auto"/>
                  </w:pPr>
                  <w:r>
                    <w:rPr>
                      <w:rFonts w:ascii="Liberation Sans" w:hAnsi="Liberation Sans" w:eastAsia="Liberation Sans" w:cs="Liberation Sans"/>
                      <w:b w:val="0"/>
                      <w:color w:val="182B32"/>
                      <w:sz w:val="22"/>
                    </w:rPr>
                    <w:t>2. It could allow regulation, safety checking and adaptation instead of demanding immediate unsafe action.</w:t>
                  </w:r>
                </w:p>
                <w:p>
                  <w:pPr>
                    <w:keepLines/>
                    <w:spacing w:after="60" w:before="0" w:line="247" w:lineRule="auto"/>
                  </w:pPr>
                  <w:r>
                    <w:rPr>
                      <w:rFonts w:ascii="Liberation Sans" w:hAnsi="Liberation Sans" w:eastAsia="Liberation Sans" w:cs="Liberation Sans"/>
                      <w:b w:val="0"/>
                      <w:color w:val="182B32"/>
                      <w:sz w:val="22"/>
                    </w:rPr>
                    <w:t>3. It was a sacred narrative with an interpreted meaning; it did not supply evidence of the garden’s future outcome.</w:t>
                  </w:r>
                </w:p>
                <w:p>
                  <w:pPr>
                    <w:keepLines/>
                    <w:spacing w:after="60" w:before="0" w:line="247" w:lineRule="auto"/>
                  </w:pPr>
                  <w:r>
                    <w:rPr>
                      <w:rFonts w:ascii="Liberation Sans" w:hAnsi="Liberation Sans" w:eastAsia="Liberation Sans" w:cs="Liberation Sans"/>
                      <w:b w:val="0"/>
                      <w:color w:val="182B32"/>
                      <w:sz w:val="22"/>
                    </w:rPr>
                    <w:t>4. State it accurately, recognise a real strength, then test it with relevant evidence and a reasoned challenge.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It needed a feasible action, safety information and practical support. Motivation alone did not establish resources or the outcome.</w:t>
                  </w:r>
                </w:p>
                <w:p>
                  <w:pPr>
                    <w:keepLines/>
                    <w:spacing w:after="60" w:before="0" w:line="247" w:lineRule="auto"/>
                  </w:pPr>
                  <w:r>
                    <w:rPr>
                      <w:rFonts w:ascii="Liberation Sans" w:hAnsi="Liberation Sans" w:eastAsia="Liberation Sans" w:cs="Liberation Sans"/>
                      <w:b w:val="0"/>
                      <w:color w:val="182B32"/>
                      <w:sz w:val="22"/>
                    </w:rPr>
                    <w:t>2. One repaired bed could preserve a worthwhile gardening aim while adapting scale to resources and safety.</w:t>
                  </w:r>
                </w:p>
                <w:p>
                  <w:pPr>
                    <w:keepLines/>
                    <w:spacing w:after="60" w:before="0" w:line="247" w:lineRule="auto"/>
                  </w:pPr>
                  <w:r>
                    <w:rPr>
                      <w:rFonts w:ascii="Liberation Sans" w:hAnsi="Liberation Sans" w:eastAsia="Liberation Sans" w:cs="Liberation Sans"/>
                      <w:b w:val="0"/>
                      <w:color w:val="182B32"/>
                      <w:sz w:val="22"/>
                    </w:rPr>
                    <w:t>3. A source can support meaning or motivation for some people. A guarantee says an outcome must occur; that is not established by the source or case.</w:t>
                  </w:r>
                </w:p>
                <w:p>
                  <w:pPr>
                    <w:keepLines/>
                    <w:spacing w:after="60" w:before="0" w:line="247" w:lineRule="auto"/>
                  </w:pPr>
                  <w:r>
                    <w:rPr>
                      <w:rFonts w:ascii="Liberation Sans" w:hAnsi="Liberation Sans" w:eastAsia="Liberation Sans" w:cs="Liberation Sans"/>
                      <w:b w:val="0"/>
                      <w:color w:val="182B32"/>
                      <w:sz w:val="22"/>
                    </w:rPr>
                    <w:t>4. It states the conditions or limits that affect the conclusion and explains them with evidence, rather than only saying “it depends”.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The participant cannot access the spoken format; the written format provides the same steps and is available.</w:t>
                  </w:r>
                </w:p>
                <w:p>
                  <w:pPr>
                    <w:keepLines/>
                    <w:spacing w:after="60" w:before="0" w:line="247" w:lineRule="auto"/>
                  </w:pPr>
                  <w:r>
                    <w:rPr>
                      <w:rFonts w:ascii="Liberation Sans" w:hAnsi="Liberation Sans" w:eastAsia="Liberation Sans" w:cs="Liberation Sans"/>
                      <w:b w:val="0"/>
                      <w:color w:val="182B32"/>
                      <w:sz w:val="22"/>
                    </w:rPr>
                    <w:t>2. Different formats can provide access to the same task; a consistent rule can be to meet justified access needs.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Identical spoken delivery excludes this participant; written steps change access format rather than the task information, so difference is not inherently favouritism.</w:t>
                  </w:r>
                </w:p>
                <w:p>
                  <w:pPr>
                    <w:keepLines/>
                    <w:spacing w:after="60" w:before="0" w:line="247" w:lineRule="auto"/>
                  </w:pPr>
                  <w:r>
                    <w:rPr>
                      <w:rFonts w:ascii="Liberation Sans" w:hAnsi="Liberation Sans" w:eastAsia="Liberation Sans" w:cs="Liberation Sans"/>
                      <w:b w:val="0"/>
                      <w:color w:val="182B32"/>
                      <w:sz w:val="22"/>
                    </w:rPr>
                    <w:t>2. Keep consistent criteria and the same relevant information while allowing evidenced access adjustments; the claim that any difference is unfair is too broad.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The argument assumes sameness ensures access, contradicted by the stated barrier and available equivalent written steps.</w:t>
                  </w:r>
                </w:p>
                <w:p>
                  <w:pPr>
                    <w:keepLines/>
                    <w:spacing w:after="60" w:before="0" w:line="247" w:lineRule="auto"/>
                  </w:pPr>
                  <w:r>
                    <w:rPr>
                      <w:rFonts w:ascii="Liberation Sans" w:hAnsi="Liberation Sans" w:eastAsia="Liberation Sans" w:cs="Liberation Sans"/>
                      <w:b w:val="0"/>
                      <w:color w:val="182B32"/>
                      <w:sz w:val="22"/>
                    </w:rPr>
                    <w:t>2. A supported judgement allows the written version on consistent access grounds. A genuinely unknown resource or content-equivalence constraint could need checking; do not invent it as a fact 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“This fact challenges the view because…” begins a reasoned counterargument, provided a relevant fact and actual explanation follow.</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The entrance cannot be used by some visitors, so equal hours alone do not establish access. Shared hours can be predictable and consistent, which is a real strength. A qualified judgement keeps useful common rules while addressing the evidenced entrance barrier. This guided practice does not supply the pupil’s reading-guide judgement.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Starter: “This fact challenges the view because…” begins a reasoned counterargument, provided a relevant fact and actual explanation follow.</w:t>
                  </w:r>
                </w:p>
                <w:p>
                  <w:pPr>
                    <w:keepLines/>
                    <w:spacing w:after="60" w:before="0" w:line="247" w:lineRule="auto"/>
                  </w:pPr>
                  <w:r>
                    <w:rPr>
                      <w:rFonts w:ascii="Liberation Sans" w:hAnsi="Liberation Sans" w:eastAsia="Liberation Sans" w:cs="Liberation Sans"/>
                      <w:b w:val="0"/>
                      <w:color w:val="182B32"/>
                      <w:sz w:val="22"/>
                    </w:rPr>
                    <w:t>We Do shared check: The entrance cannot be used by some visitors, so equal hours alone do not establish access. Shared hours can be predictable and consistent, which is a real strength. A qualified judgement keeps useful common rules while addressing the evidenced entrance barrier. This guided practice does not supply the pupil’s reading-guide judgement.</w:t>
                  </w:r>
                </w:p>
                <w:p>
                  <w:pPr>
                    <w:keepLines/>
                    <w:spacing w:after="60" w:before="0" w:line="247" w:lineRule="auto"/>
                  </w:pPr>
                  <w:r>
                    <w:rPr>
                      <w:rFonts w:ascii="Liberation Sans" w:hAnsi="Liberation Sans" w:eastAsia="Liberation Sans" w:cs="Liberation Sans"/>
                      <w:b w:val="0"/>
                      <w:color w:val="182B32"/>
                      <w:sz w:val="22"/>
                    </w:rPr>
                    <w:t>You Do common criteria: relevant source detail; an explained link to the weekly outcome; accurate terminology; a precise qualification or ethical check; pupil-owned response and review. Independent, Supported and Choice test the same core thinking. Choice requires the pupil’s own word, phrase or reason. Record actual support; an adult-selected answer is not pupil evidence.</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You Do staff guidance: Strong responses fairly state Q1’s predictability/anti-favouritism strength, use Q2 to show an access barrier and equivalent information, explain a counterargument, and qualify the judgement. Attribute Q3 carefully. Credit a reasoned alternative grounded in facts; do not demand the teacher’s opinion or equate identity with a decision.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Arrival: TA action — Help locate the first question and begin within about two minutes. Avoid — Do not answer the four questions or reveal recall before the first attempt. Feedback script — “I have received your first attempt; we can now check one idea.”</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I Do: TA action — Support attention to the one chunk and point to its source. Avoid — Do not give a parallel explanation or require copying from the board. Feedback script — “Notice how the model links a source detail to a claim.”</w:t>
                  </w:r>
                </w:p>
                <w:p>
                  <w:pPr>
                    <w:keepLines/>
                    <w:spacing w:after="60" w:before="0" w:line="247" w:lineRule="auto"/>
                  </w:pPr>
                  <w:r>
                    <w:rPr>
                      <w:rFonts w:ascii="Liberation Sans" w:hAnsi="Liberation Sans" w:eastAsia="Liberation Sans" w:cs="Liberation Sans"/>
                      <w:b w:val="0"/>
                      <w:color w:val="182B32"/>
                      <w:sz w:val="22"/>
                    </w:rPr>
                    <w:t>We Do: TA action — Prompt one contribution and an exact pupil-owned record. Avoid — Do not complete the guided response for the pupil. Feedback script — “Your detail is recorded; now explain what it supports.”</w:t>
                  </w:r>
                </w:p>
                <w:p>
                  <w:pPr>
                    <w:keepLines/>
                    <w:spacing w:after="60" w:before="0" w:line="247" w:lineRule="auto"/>
                  </w:pPr>
                  <w:r>
                    <w:rPr>
                      <w:rFonts w:ascii="Liberation Sans" w:hAnsi="Liberation Sans" w:eastAsia="Liberation Sans" w:cs="Liberation Sans"/>
                      <w:b w:val="0"/>
                      <w:color w:val="182B32"/>
                      <w:sz w:val="22"/>
                    </w:rPr>
                    <w:t>You Do: TA action — Offer the independent attempt first, then use the held ladder and record actual support. Avoid — Do not give a content answer or leave a complete model visible throughout the attempt. Feedback script — “Against the criterion, one next step is to make this link precise; you choose the revision.”</w:t>
                  </w:r>
                </w:p>
                <w:p>
                  <w:pPr>
                    <w:keepLines/>
                    <w:spacing w:after="60" w:before="0" w:line="247" w:lineRule="auto"/>
                  </w:pPr>
                  <w:r>
                    <w:rPr>
                      <w:rFonts w:ascii="Liberation Sans" w:hAnsi="Liberation Sans" w:eastAsia="Liberation Sans" w:cs="Liberation Sans"/>
                      <w:b w:val="0"/>
                      <w:color w:val="182B32"/>
                      <w:sz w:val="22"/>
                    </w:rPr>
                    <w:t>Exit Ticket: TA action — Ensure an attempt in the chosen mode and record actual prompting. Avoid — Never change an answer or supply a clue, answer stem, Word help or organiser during the checks. Feedback script — “I have received your answer as given; it will help choose the next teaching step.”</w:t>
                  </w:r>
                </w:p>
                <w:p>
                  <w:pPr>
                    <w:keepLines/>
                    <w:spacing w:after="60" w:before="0" w:line="247" w:lineRule="auto"/>
                  </w:pPr>
                  <w:r>
                    <w:rPr>
                      <w:rFonts w:ascii="Liberation Sans" w:hAnsi="Liberation Sans" w:eastAsia="Liberation Sans" w:cs="Liberation Sans"/>
                      <w:b w:val="0"/>
                      <w:color w:val="182B32"/>
                      <w:sz w:val="22"/>
                    </w:rPr>
                    <w:t>Baseline and prompting: record the level of support, not just success. Independent = no content prompt; With prompt = stem/choice/reminder used; Not yet = adult supplied most of the content. Never improve an answer so it no longer shows the baseline or mark a prompted response as independent. Staff record actual I, S or C beside the task in the private record; pupil route pages retain only the empty labelled box.</w:t>
                  </w:r>
                </w:p>
                <w:p>
                  <w:pPr>
                    <w:keepLines/>
                    <w:spacing w:after="60" w:before="0" w:line="247" w:lineRule="auto"/>
                  </w:pPr>
                  <w:r>
                    <w:rPr>
                      <w:rFonts w:ascii="Liberation Sans" w:hAnsi="Liberation Sans" w:eastAsia="Liberation Sans" w:cs="Liberation Sans"/>
                      <w:b w:val="0"/>
                      <w:color w:val="182B32"/>
                      <w:sz w:val="22"/>
                    </w:rPr>
                    <w:t>LOOP · Arrival — Space: private response, pass or short break with return to this stage’s next numbered step. Capture: designated classroom-support adult records private first-attempt responses to the four questions with actual response mode and prompt. Feedback: one accurate idea and one point to check after the baseline. Voice: the pupil keeps the original and gives or directs a correction. Audience: the lead teacher receives the full response and names the actual change back. Planned Influence: choose whether the short prerequisite/previous-lesson recap is needed before new input.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Starter — Space: private response, pass or short break with return to this stage’s next numbered step. Capture: designated classroom-support adult records the single choice and its reason with actual response mode and prompt. Feedback: a brief question about how the choice fits the example. Voice: the pupil confirms or revises the reason in the chosen mode. Audience: the lead teacher receives the full response and names the actual change back. Planned Influence: adjust the first model explanation to the misconception actually heard.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LOOP · I Do — Space: private response, pass or short break with return to this stage’s next numbered step. Capture: designated classroom-support adult records the pupil-selected useful model link or vocabulary note with actual response mode and prompt. Feedback: one precise comment about the link between detail and claim. Voice: the pupil points to or explains that link without copying the whole model. Audience: the lead teacher receives the full response and names the actual change back. Planned Influence: adjust the first guided question or source chunk before We Do.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We Do — Space: private response, pass or short break with return to this stage’s next numbered step. Capture: designated classroom-support adult records one guided example and the pupil-owned explanation with actual response mode and prompt. Feedback: one criterion-linked prompt about what the selected detail supports. Voice: the pupil supplies or directs an explanation or correction. Audience: the lead teacher receives the full response and names the actual change back. Planned Influence: choose the least support needed for the initial independent attempt.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You Do — Space: private response, pass or short break with return to this stage’s next numbered step. Capture: designated classroom-support adult records the source-based response and its visible pupil-owned review with actual response mode and prompt. Feedback: one brief criterion-referenced next step after the initial response is recorded. Voice: the pupil revises, explains a reason to retain wording, or opts out. Audience: the lead teacher receives the full response and names the actual change back. Planned Influence: choose the next taught recap, source or support adjustment from the received response.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Exit Ticket — Space: private response, pass or short break with return to this stage’s next numbered step. Capture: designated classroom-support adult records both unaltered fresh-source checks and the separate prompt record with actual response mode and prompt. Feedback: receipt only during the check; one specific next step after collection. Voice: the pupil submits the response or passes; any later response stays separate. Audience: the lead teacher receives the full response and names the actual change back. Planned Influence: plan the next taught recap from the actual answers without changing this baseline.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Adult-only EHCP note: use only an agreed relevant individual outcome. Possible opportunities are selecting source evidence, communicating a choice/reason, using an agreed pause and return, or accessing a record through an agreed mode. These are opportunities, not diagnoses or assumed progress. Record only what was observed. No pupil identities, initials or filled personal fields appear in this material.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LAUNCH response window: use a brief criteria-referenced NS on extended work and allow the final three minutes of You Do for a pupil-owned response. If regulation/time prevents a response, reserve the first 10–15 minutes of the next taught session before new input; record this as pending, not R. On the final week, the lead teacher schedules that first response window in the next taught session without inventing its lesson content. No complete assessment answer is revealed during the initial attempt.</w:t>
                  </w:r>
                </w:p>
                <w:p>
                  <w:pPr>
                    <w:keepLines/>
                    <w:spacing w:after="60" w:before="0" w:line="247" w:lineRule="auto"/>
                  </w:pPr>
                  <w:r>
                    <w:rPr>
                      <w:rFonts w:ascii="Liberation Sans" w:hAnsi="Liberation Sans" w:eastAsia="Liberation Sans" w:cs="Liberation Sans"/>
                      <w:b w:val="0"/>
                      <w:color w:val="182B32"/>
                      <w:sz w:val="22"/>
                    </w:rPr>
                    <w:t>Same-day evidence — LAUNCH-RE-S1-W05: the designated classroom-support adult captures a criteria-based evaluation with a counterargument and a pupil-owned precision improvement as a work-only photograph or one-line note, with response mode, chosen route, actual I/S/C and exact prompt; checks it before tagging and uploads to the evidence app the same day during the check-out slot, 14:10–14:30. Audience: the lead teacher receives the pupil’s full response, listens/looks and names the specific change back. Influence: choose the next source, recap or support adjustment from that response, and record the actual change after teaching. R is earned only after receipt and influence; capture alone, refusal or a response nobody received never earns R.</w:t>
                  </w:r>
                </w:p>
                <w:p>
                  <w:pPr>
                    <w:keepLines/>
                    <w:spacing w:after="60" w:before="0" w:line="247" w:lineRule="auto"/>
                  </w:pPr>
                  <w:r>
                    <w:rPr>
                      <w:rFonts w:ascii="Liberation Sans" w:hAnsi="Liberation Sans" w:eastAsia="Liberation Sans" w:cs="Liberation Sans"/>
                      <w:b w:val="0"/>
                      <w:color w:val="182B32"/>
                      <w:sz w:val="22"/>
                    </w:rPr>
                    <w:t>Weekly evidence plan: subject lead samples weekly. LAUNCH minimum is three pieces per week plus weekly preparation-for-adulthood evidence across the timetable, not a fabricated per-lesson quota. Record a pass or opt-out as Space evidence in Evaluation, never failure or R. Space → Feedback → Voice → Audience → Influence is planned; no actual loop is claimed before teaching.</w:t>
                  </w:r>
                </w:p>
                <w:p>
                  <w:pPr>
                    <w:keepLines/>
                    <w:spacing w:after="60" w:before="0" w:line="247" w:lineRule="auto"/>
                  </w:pPr>
                  <w:r>
                    <w:rPr>
                      <w:rFonts w:ascii="Liberation Sans" w:hAnsi="Liberation Sans" w:eastAsia="Liberation Sans" w:cs="Liberation Sans"/>
                      <w:b w:val="0"/>
                      <w:color w:val="182B32"/>
                      <w:sz w:val="22"/>
                    </w:rPr>
                    <w:t>STAFF PRODUCTION CONTRACT: six stages Arrival → Starter → I Do → We Do → You Do → Exit Ticket. Opening 0 minutes; stage minutes 5/3/6/8/15/3 = 40. Use all four cue meanings: instruction yellow #FFF1BB; scaffold blue #E4EFF9; stretch/Aspire green #E4F2E6; success criteria orange #FFE4C8. Cue colours show instructional roles, not religions or worldviews. Repeat the exact educational/non-devotional line printed below on every pupil page, including every route, tier and continuation page. Topic tints and any picture colours are declared separately at build. Every slide repeats the exact objective below in its footer and carries its stage minutes; the opening carries 40 minutes. Leave source-page hash, version and QR slots empty for intake. Pupil print type is at least 14 pt; short chunks, clear spacing and overlay-safe layout. No board copying. No image is required for these text-source tasks.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5 · LAUNCH-RE-S1-W05 · Date __________</w:t>
            </w:r>
          </w:p>
          <w:p>
            <w:pPr>
              <w:spacing w:after="40"/>
            </w:pPr>
            <w:r>
              <w:rPr>
                <w:rFonts w:ascii="Liberation Sans" w:hAnsi="Liberation Sans" w:eastAsia="Liberation Sans" w:cs="Liberation Sans"/>
                <w:b/>
                <w:color w:val="182B32"/>
                <w:sz w:val="26"/>
              </w:rPr>
              <w:t>Is treating everyone identically always fair?</w:t>
            </w:r>
          </w:p>
          <w:p>
            <w:pPr>
              <w:spacing w:after="40"/>
              <w:shd w:fill="FFE4C8"/>
            </w:pPr>
            <w:r>
              <w:rPr>
                <w:rFonts w:ascii="Liberation Sans" w:hAnsi="Liberation Sans" w:eastAsia="Liberation Sans" w:cs="Liberation Sans"/>
                <w:b w:val="0"/>
                <w:color w:val="182B32"/>
                <w:sz w:val="22"/>
              </w:rPr>
              <w:t>Today I can… □ explain a strength and a limitation of a viewpoint before giving a supported judgement.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STAFF CARE: Preview sources and preserve their attribution. No cold calling; nobody is asked to read difficult text aloud. Model some believers / this person and diversity within traditions; never rank beliefs. Use only replicas, protected teaching descriptions or photographs rather than authentic sacred objects. Before use say: handle teaching resources respectfully; a book, object or place is not the whole religion. No real flame; offer drawing/colouring. No personal object, belief, family/community experience, hardship or bereavement disclosure. No enactment of harm and no compelled apology, forgiveness, reconciliation or meeting. Reflection is optional and never worship. Offer pointing first, two or three choices, a word/symbol bank, drawing, scribed/verbal/witness-note evidence, a one-word or symbol response, private pass and quiet space. Accept depends with a reason. A neutral community case response remains available; record when it does not supply a source-comparison criterion rather than inventing attainment. Return after a short break to step 1 on the current source task. No pupil handling of objects or practical re-enactment is required for this lesson.</w:t>
                  </w:r>
                </w:p>
                <w:p>
                  <w:pPr>
                    <w:keepLines/>
                    <w:spacing w:after="60" w:before="0" w:line="247" w:lineRule="auto"/>
                  </w:pPr>
                  <w:r>
                    <w:rPr>
                      <w:rFonts w:ascii="Liberation Sans" w:hAnsi="Liberation Sans" w:eastAsia="Liberation Sans" w:cs="Liberation Sans"/>
                      <w:b w:val="0"/>
                      <w:color w:val="182B32"/>
                      <w:sz w:val="22"/>
                    </w:rPr>
                    <w:t>STAFF RESOURCE RELEASE: keep the new Word help and source strips covered during the first Arrival attempt. Release each source only for its named model, guided or independent stage; the W6 assessment strips stay covered until You Do. Cover complete model and guided answer before the independent attempt.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LAUNCH-RE-S1-W05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treating everyone identically always fair?</dc:title>
  <dc:subject>LAUNCH-RE-S1-W05</dc:subject>
  <dc:creator/>
  <cp:keywords/>
  <dc:description/>
  <cp:lastModifiedBy/>
  <cp:revision>1</cp:revision>
  <dcterms:created xsi:type="dcterms:W3CDTF">2013-12-23T23:15:00Z</dcterms:created>
  <dcterms:modified xsi:type="dcterms:W3CDTF">2013-12-23T23:15:00Z</dcterms:modified>
  <cp:category/>
  <dc:language>en-GB</dc:language>
</cp:coreProperties>
</file>