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notes and answers</w:t>
      </w:r>
    </w:p>
    <w:p>
      <w:pPr>
        <w:pStyle w:val="Subtitle"/>
      </w:pPr>
      <w:r>
        <w:t>Routes on a familiar plan | BUILD_SU1_W02 | STAFF ONLY</w:t>
      </w:r>
    </w:p>
    <w:p>
      <w:pPr>
        <w:pStyle w:val="Heading1"/>
      </w:pPr>
      <w:r>
        <w:t>Preparation</w:t>
      </w:r>
    </w:p>
    <w:p>
      <w:r>
        <w:t>Townside is an invented practice plan. Use the editable familiar-place plan sheet to add a checked school plan before teaching. Keep the plan the same way up. Left and right mean on the page; pupils do not turn their bodies. On Townside, move only to an adjacent square, never diagonally.</w:t>
      </w:r>
    </w:p>
    <w:p>
      <w:pPr>
        <w:pStyle w:val="Heading1"/>
      </w:pPr>
      <w:r>
        <w:t>Scheme of work alignment</w:t>
      </w:r>
    </w:p>
    <w:p>
      <w:r>
        <w:t>Outcome: Use a simple map or plan of a familiar place.</w:t>
      </w:r>
    </w:p>
    <w:p>
      <w:r>
        <w:t>Teaching and application: Follow a model route; build a route for a partner, then independently mark its destination. Use a simplified map and clearly defined role.</w:t>
      </w:r>
    </w:p>
    <w:p>
      <w:r>
        <w:t>Assessment: F: map check plus independent route/location response.</w:t>
      </w:r>
    </w:p>
    <w:p>
      <w:r>
        <w:t>Source: Humanities Scheme of Work 2026–27(1).docx, page 11, BUILD Summer 1. No approved UAS unit code is supplied in the SoW. Check the selected unit requirements before any submission.</w:t>
      </w:r>
    </w:p>
    <w:p>
      <w:pPr>
        <w:pStyle w:val="Heading1"/>
      </w:pPr>
      <w:r>
        <w:t>Teaching and access</w:t>
      </w:r>
    </w:p>
    <w:p>
      <w:r>
        <w:t>One instruction at a time. Point, speak, draw, type or write. Use the supported route for a smaller choice set. Fade content prompts before the independent check.</w:t>
      </w:r>
    </w:p>
    <w:p>
      <w:r>
        <w:t>Offer a seated counter route and a quiet partner or adult. Give thinking time, allow passing, and agree a small first move after a pause.</w:t>
      </w:r>
    </w:p>
    <w:p>
      <w:r>
        <w:t>Print only one arrival route and one independent route per learner. Keep these staff answers separate from pupil sheets.</w:t>
      </w:r>
    </w:p>
    <w:p>
      <w:r>
        <w:br w:type="page"/>
      </w:r>
    </w:p>
    <w:p>
      <w:pPr>
        <w:pStyle w:val="Title"/>
      </w:pPr>
      <w:r>
        <w:t>Teaching sequence</w:t>
      </w:r>
    </w:p>
    <w:p>
      <w:pPr>
        <w:pStyle w:val="Subtitle"/>
      </w:pPr>
      <w:r>
        <w:t>40 minutes with flexible pauses</w:t>
      </w:r>
    </w:p>
    <w:tbl>
      <w:tblPr>
        <w:tblW w:type="auto" w:w="0"/>
        <w:tblLayout w:type="fixed"/>
        <w:tblLook w:firstColumn="1" w:firstRow="1" w:lastColumn="0" w:lastRow="0" w:noHBand="0" w:noVBand="1" w:val="04A0"/>
      </w:tblPr>
      <w:tblGrid>
        <w:gridCol w:w="3326"/>
        <w:gridCol w:w="3326"/>
        <w:gridCol w:w="3326"/>
      </w:tblGrid>
      <w:tr>
        <w:tc>
          <w:tcPr>
            <w:tcW w:type="dxa" w:w="1701"/>
            <w:tcBorders>
              <w:top w:val="single" w:sz="6" w:color="D9D9D9"/>
              <w:left w:val="single" w:sz="6" w:color="D9D9D9"/>
              <w:bottom w:val="single" w:sz="6" w:color="D9D9D9"/>
              <w:right w:val="single" w:sz="6" w:color="D9D9D9"/>
            </w:tcBorders>
            <w:shd w:fill="E4EDF2"/>
          </w:tcPr>
          <w:p>
            <w:pPr>
              <w:spacing w:after="120" w:before="120"/>
            </w:pPr>
            <w:r>
              <w:rPr>
                <w:b/>
              </w:rPr>
              <w:t>Stage</w:t>
            </w:r>
          </w:p>
        </w:tc>
        <w:tc>
          <w:tcPr>
            <w:tcW w:type="dxa" w:w="1134"/>
            <w:tcBorders>
              <w:top w:val="single" w:sz="6" w:color="D9D9D9"/>
              <w:left w:val="single" w:sz="6" w:color="D9D9D9"/>
              <w:bottom w:val="single" w:sz="6" w:color="D9D9D9"/>
              <w:right w:val="single" w:sz="6" w:color="D9D9D9"/>
            </w:tcBorders>
            <w:shd w:fill="E4EDF2"/>
          </w:tcPr>
          <w:p>
            <w:pPr>
              <w:spacing w:after="120" w:before="120"/>
            </w:pPr>
            <w:r>
              <w:rPr>
                <w:b/>
              </w:rPr>
              <w:t>Minutes</w:t>
            </w:r>
          </w:p>
        </w:tc>
        <w:tc>
          <w:tcPr>
            <w:tcW w:type="dxa" w:w="6803"/>
            <w:tcBorders>
              <w:top w:val="single" w:sz="6" w:color="D9D9D9"/>
              <w:left w:val="single" w:sz="6" w:color="D9D9D9"/>
              <w:bottom w:val="single" w:sz="6" w:color="D9D9D9"/>
              <w:right w:val="single" w:sz="6" w:color="D9D9D9"/>
            </w:tcBorders>
            <w:shd w:fill="E4EDF2"/>
          </w:tcPr>
          <w:p>
            <w:pPr>
              <w:spacing w:after="120" w:before="120"/>
            </w:pPr>
            <w:r>
              <w:rPr>
                <w:b/>
              </w:rPr>
              <w:t>Teaching and next attempt</w:t>
            </w:r>
          </w:p>
        </w:tc>
      </w:tr>
      <w:tr>
        <w:tc>
          <w:tcPr>
            <w:tcW w:type="dxa" w:w="1701"/>
            <w:tcBorders>
              <w:top w:val="single" w:sz="6" w:color="D9D9D9"/>
              <w:left w:val="single" w:sz="6" w:color="D9D9D9"/>
              <w:bottom w:val="single" w:sz="6" w:color="D9D9D9"/>
              <w:right w:val="single" w:sz="6" w:color="D9D9D9"/>
            </w:tcBorders>
            <w:shd w:fill="FFFFFF"/>
          </w:tcPr>
          <w:p>
            <w:pPr>
              <w:spacing w:after="120" w:before="120"/>
            </w:pPr>
            <w:r>
              <w:t>Arrival</w:t>
            </w:r>
          </w:p>
        </w:tc>
        <w:tc>
          <w:tcPr>
            <w:tcW w:type="dxa" w:w="1134"/>
            <w:tcBorders>
              <w:top w:val="single" w:sz="6" w:color="D9D9D9"/>
              <w:left w:val="single" w:sz="6" w:color="D9D9D9"/>
              <w:bottom w:val="single" w:sz="6" w:color="D9D9D9"/>
              <w:right w:val="single" w:sz="6" w:color="D9D9D9"/>
            </w:tcBorders>
            <w:shd w:fill="FFFFFF"/>
          </w:tcPr>
          <w:p>
            <w:pPr>
              <w:spacing w:after="120" w:before="120"/>
            </w:pPr>
            <w:r>
              <w:t>4</w:t>
            </w:r>
          </w:p>
        </w:tc>
        <w:tc>
          <w:tcPr>
            <w:tcW w:type="dxa" w:w="6803"/>
            <w:tcBorders>
              <w:top w:val="single" w:sz="6" w:color="D9D9D9"/>
              <w:left w:val="single" w:sz="6" w:color="D9D9D9"/>
              <w:bottom w:val="single" w:sz="6" w:color="D9D9D9"/>
              <w:right w:val="single" w:sz="6" w:color="D9D9D9"/>
            </w:tcBorders>
            <w:shd w:fill="FFFFFF"/>
          </w:tcPr>
          <w:p>
            <w:pPr>
              <w:spacing w:after="120" w:before="120"/>
            </w:pPr>
            <w:r>
              <w:t>If unsure, reduce to two choices and try a new example.</w:t>
            </w:r>
          </w:p>
        </w:tc>
      </w:tr>
      <w:tr>
        <w:tc>
          <w:tcPr>
            <w:tcW w:type="dxa" w:w="1701"/>
            <w:tcBorders>
              <w:top w:val="single" w:sz="6" w:color="D9D9D9"/>
              <w:left w:val="single" w:sz="6" w:color="D9D9D9"/>
              <w:bottom w:val="single" w:sz="6" w:color="D9D9D9"/>
              <w:right w:val="single" w:sz="6" w:color="D9D9D9"/>
            </w:tcBorders>
            <w:shd w:fill="F4F7F9"/>
          </w:tcPr>
          <w:p>
            <w:pPr>
              <w:spacing w:after="120" w:before="120"/>
            </w:pPr>
            <w:r>
              <w:t>Starter</w:t>
            </w:r>
          </w:p>
        </w:tc>
        <w:tc>
          <w:tcPr>
            <w:tcW w:type="dxa" w:w="1134"/>
            <w:tcBorders>
              <w:top w:val="single" w:sz="6" w:color="D9D9D9"/>
              <w:left w:val="single" w:sz="6" w:color="D9D9D9"/>
              <w:bottom w:val="single" w:sz="6" w:color="D9D9D9"/>
              <w:right w:val="single" w:sz="6" w:color="D9D9D9"/>
            </w:tcBorders>
            <w:shd w:fill="F4F7F9"/>
          </w:tcPr>
          <w:p>
            <w:pPr>
              <w:spacing w:after="120" w:before="120"/>
            </w:pPr>
            <w:r>
              <w:t>3</w:t>
            </w:r>
          </w:p>
        </w:tc>
        <w:tc>
          <w:tcPr>
            <w:tcW w:type="dxa" w:w="6803"/>
            <w:tcBorders>
              <w:top w:val="single" w:sz="6" w:color="D9D9D9"/>
              <w:left w:val="single" w:sz="6" w:color="D9D9D9"/>
              <w:bottom w:val="single" w:sz="6" w:color="D9D9D9"/>
              <w:right w:val="single" w:sz="6" w:color="D9D9D9"/>
            </w:tcBorders>
            <w:shd w:fill="F4F7F9"/>
          </w:tcPr>
          <w:p>
            <w:pPr>
              <w:spacing w:after="120" w:before="120"/>
            </w:pPr>
            <w:r>
              <w:t>Ask for one visible clue, then hear the revised explanation.</w:t>
            </w:r>
          </w:p>
        </w:tc>
      </w:tr>
      <w:tr>
        <w:tc>
          <w:tcPr>
            <w:tcW w:type="dxa" w:w="1701"/>
            <w:tcBorders>
              <w:top w:val="single" w:sz="6" w:color="D9D9D9"/>
              <w:left w:val="single" w:sz="6" w:color="D9D9D9"/>
              <w:bottom w:val="single" w:sz="6" w:color="D9D9D9"/>
              <w:right w:val="single" w:sz="6" w:color="D9D9D9"/>
            </w:tcBorders>
            <w:shd w:fill="FFFFFF"/>
          </w:tcPr>
          <w:p>
            <w:pPr>
              <w:spacing w:after="120" w:before="120"/>
            </w:pPr>
            <w:r>
              <w:t>I do</w:t>
            </w:r>
          </w:p>
        </w:tc>
        <w:tc>
          <w:tcPr>
            <w:tcW w:type="dxa" w:w="1134"/>
            <w:tcBorders>
              <w:top w:val="single" w:sz="6" w:color="D9D9D9"/>
              <w:left w:val="single" w:sz="6" w:color="D9D9D9"/>
              <w:bottom w:val="single" w:sz="6" w:color="D9D9D9"/>
              <w:right w:val="single" w:sz="6" w:color="D9D9D9"/>
            </w:tcBorders>
            <w:shd w:fill="FFFFFF"/>
          </w:tcPr>
          <w:p>
            <w:pPr>
              <w:spacing w:after="120" w:before="120"/>
            </w:pPr>
            <w:r>
              <w:t>6</w:t>
            </w:r>
          </w:p>
        </w:tc>
        <w:tc>
          <w:tcPr>
            <w:tcW w:type="dxa" w:w="6803"/>
            <w:tcBorders>
              <w:top w:val="single" w:sz="6" w:color="D9D9D9"/>
              <w:left w:val="single" w:sz="6" w:color="D9D9D9"/>
              <w:bottom w:val="single" w:sz="6" w:color="D9D9D9"/>
              <w:right w:val="single" w:sz="6" w:color="D9D9D9"/>
            </w:tcBorders>
            <w:shd w:fill="FFFFFF"/>
          </w:tcPr>
          <w:p>
            <w:pPr>
              <w:spacing w:after="120" w:before="120"/>
            </w:pPr>
            <w:r>
              <w:t>Model one step, then let the learner do the next.</w:t>
            </w:r>
          </w:p>
        </w:tc>
      </w:tr>
      <w:tr>
        <w:tc>
          <w:tcPr>
            <w:tcW w:type="dxa" w:w="1701"/>
            <w:tcBorders>
              <w:top w:val="single" w:sz="6" w:color="D9D9D9"/>
              <w:left w:val="single" w:sz="6" w:color="D9D9D9"/>
              <w:bottom w:val="single" w:sz="6" w:color="D9D9D9"/>
              <w:right w:val="single" w:sz="6" w:color="D9D9D9"/>
            </w:tcBorders>
            <w:shd w:fill="F4F7F9"/>
          </w:tcPr>
          <w:p>
            <w:pPr>
              <w:spacing w:after="120" w:before="120"/>
            </w:pPr>
            <w:r>
              <w:t>We do</w:t>
            </w:r>
          </w:p>
        </w:tc>
        <w:tc>
          <w:tcPr>
            <w:tcW w:type="dxa" w:w="1134"/>
            <w:tcBorders>
              <w:top w:val="single" w:sz="6" w:color="D9D9D9"/>
              <w:left w:val="single" w:sz="6" w:color="D9D9D9"/>
              <w:bottom w:val="single" w:sz="6" w:color="D9D9D9"/>
              <w:right w:val="single" w:sz="6" w:color="D9D9D9"/>
            </w:tcBorders>
            <w:shd w:fill="F4F7F9"/>
          </w:tcPr>
          <w:p>
            <w:pPr>
              <w:spacing w:after="120" w:before="120"/>
            </w:pPr>
            <w:r>
              <w:t>7</w:t>
            </w:r>
          </w:p>
        </w:tc>
        <w:tc>
          <w:tcPr>
            <w:tcW w:type="dxa" w:w="6803"/>
            <w:tcBorders>
              <w:top w:val="single" w:sz="6" w:color="D9D9D9"/>
              <w:left w:val="single" w:sz="6" w:color="D9D9D9"/>
              <w:bottom w:val="single" w:sz="6" w:color="D9D9D9"/>
              <w:right w:val="single" w:sz="6" w:color="D9D9D9"/>
            </w:tcBorders>
            <w:shd w:fill="F4F7F9"/>
          </w:tcPr>
          <w:p>
            <w:pPr>
              <w:spacing w:after="120" w:before="120"/>
            </w:pPr>
            <w:r>
              <w:t>Ask the learner which support helped. Use it, hear their response and agree the next attempt.</w:t>
            </w:r>
          </w:p>
        </w:tc>
      </w:tr>
      <w:tr>
        <w:tc>
          <w:tcPr>
            <w:tcW w:type="dxa" w:w="1701"/>
            <w:tcBorders>
              <w:top w:val="single" w:sz="6" w:color="D9D9D9"/>
              <w:left w:val="single" w:sz="6" w:color="D9D9D9"/>
              <w:bottom w:val="single" w:sz="6" w:color="D9D9D9"/>
              <w:right w:val="single" w:sz="6" w:color="D9D9D9"/>
            </w:tcBorders>
            <w:shd w:fill="FFFFFF"/>
          </w:tcPr>
          <w:p>
            <w:pPr>
              <w:spacing w:after="120" w:before="120"/>
            </w:pPr>
            <w:r>
              <w:t>Check</w:t>
            </w:r>
          </w:p>
        </w:tc>
        <w:tc>
          <w:tcPr>
            <w:tcW w:type="dxa" w:w="1134"/>
            <w:tcBorders>
              <w:top w:val="single" w:sz="6" w:color="D9D9D9"/>
              <w:left w:val="single" w:sz="6" w:color="D9D9D9"/>
              <w:bottom w:val="single" w:sz="6" w:color="D9D9D9"/>
              <w:right w:val="single" w:sz="6" w:color="D9D9D9"/>
            </w:tcBorders>
            <w:shd w:fill="FFFFFF"/>
          </w:tcPr>
          <w:p>
            <w:pPr>
              <w:spacing w:after="120" w:before="120"/>
            </w:pPr>
            <w:r>
              <w:t>2</w:t>
            </w:r>
          </w:p>
        </w:tc>
        <w:tc>
          <w:tcPr>
            <w:tcW w:type="dxa" w:w="6803"/>
            <w:tcBorders>
              <w:top w:val="single" w:sz="6" w:color="D9D9D9"/>
              <w:left w:val="single" w:sz="6" w:color="D9D9D9"/>
              <w:bottom w:val="single" w:sz="6" w:color="D9D9D9"/>
              <w:right w:val="single" w:sz="6" w:color="D9D9D9"/>
            </w:tcBorders>
            <w:shd w:fill="FFFFFF"/>
          </w:tcPr>
          <w:p>
            <w:pPr>
              <w:spacing w:after="120" w:before="120"/>
            </w:pPr>
            <w:r>
              <w:t>Use the repair question to reveal the misconception; recheck with a new example.</w:t>
            </w:r>
          </w:p>
        </w:tc>
      </w:tr>
      <w:tr>
        <w:tc>
          <w:tcPr>
            <w:tcW w:type="dxa" w:w="1701"/>
            <w:tcBorders>
              <w:top w:val="single" w:sz="6" w:color="D9D9D9"/>
              <w:left w:val="single" w:sz="6" w:color="D9D9D9"/>
              <w:bottom w:val="single" w:sz="6" w:color="D9D9D9"/>
              <w:right w:val="single" w:sz="6" w:color="D9D9D9"/>
            </w:tcBorders>
            <w:shd w:fill="F4F7F9"/>
          </w:tcPr>
          <w:p>
            <w:pPr>
              <w:spacing w:after="120" w:before="120"/>
            </w:pPr>
            <w:r>
              <w:t>Independent</w:t>
            </w:r>
          </w:p>
        </w:tc>
        <w:tc>
          <w:tcPr>
            <w:tcW w:type="dxa" w:w="1134"/>
            <w:tcBorders>
              <w:top w:val="single" w:sz="6" w:color="D9D9D9"/>
              <w:left w:val="single" w:sz="6" w:color="D9D9D9"/>
              <w:bottom w:val="single" w:sz="6" w:color="D9D9D9"/>
              <w:right w:val="single" w:sz="6" w:color="D9D9D9"/>
            </w:tcBorders>
            <w:shd w:fill="F4F7F9"/>
          </w:tcPr>
          <w:p>
            <w:pPr>
              <w:spacing w:after="120" w:before="120"/>
            </w:pPr>
            <w:r>
              <w:t>12</w:t>
            </w:r>
          </w:p>
        </w:tc>
        <w:tc>
          <w:tcPr>
            <w:tcW w:type="dxa" w:w="6803"/>
            <w:tcBorders>
              <w:top w:val="single" w:sz="6" w:color="D9D9D9"/>
              <w:left w:val="single" w:sz="6" w:color="D9D9D9"/>
              <w:bottom w:val="single" w:sz="6" w:color="D9D9D9"/>
              <w:right w:val="single" w:sz="6" w:color="D9D9D9"/>
            </w:tcBorders>
            <w:shd w:fill="F4F7F9"/>
          </w:tcPr>
          <w:p>
            <w:pPr>
              <w:spacing w:after="120" w:before="120"/>
            </w:pPr>
            <w:r>
              <w:t>Fade the content prompt. Keep usual reading and communication support.</w:t>
            </w:r>
          </w:p>
        </w:tc>
      </w:tr>
      <w:tr>
        <w:tc>
          <w:tcPr>
            <w:tcW w:type="dxa" w:w="1701"/>
            <w:tcBorders>
              <w:top w:val="single" w:sz="6" w:color="D9D9D9"/>
              <w:left w:val="single" w:sz="6" w:color="D9D9D9"/>
              <w:bottom w:val="single" w:sz="6" w:color="D9D9D9"/>
              <w:right w:val="single" w:sz="6" w:color="D9D9D9"/>
            </w:tcBorders>
            <w:shd w:fill="FFFFFF"/>
          </w:tcPr>
          <w:p>
            <w:pPr>
              <w:spacing w:after="120" w:before="120"/>
            </w:pPr>
            <w:r>
              <w:t>Review</w:t>
            </w:r>
          </w:p>
        </w:tc>
        <w:tc>
          <w:tcPr>
            <w:tcW w:type="dxa" w:w="1134"/>
            <w:tcBorders>
              <w:top w:val="single" w:sz="6" w:color="D9D9D9"/>
              <w:left w:val="single" w:sz="6" w:color="D9D9D9"/>
              <w:bottom w:val="single" w:sz="6" w:color="D9D9D9"/>
              <w:right w:val="single" w:sz="6" w:color="D9D9D9"/>
            </w:tcBorders>
            <w:shd w:fill="FFFFFF"/>
          </w:tcPr>
          <w:p>
            <w:pPr>
              <w:spacing w:after="120" w:before="120"/>
            </w:pPr>
            <w:r>
              <w:t>3</w:t>
            </w:r>
          </w:p>
        </w:tc>
        <w:tc>
          <w:tcPr>
            <w:tcW w:type="dxa" w:w="6803"/>
            <w:tcBorders>
              <w:top w:val="single" w:sz="6" w:color="D9D9D9"/>
              <w:left w:val="single" w:sz="6" w:color="D9D9D9"/>
              <w:bottom w:val="single" w:sz="6" w:color="D9D9D9"/>
              <w:right w:val="single" w:sz="6" w:color="D9D9D9"/>
            </w:tcBorders>
            <w:shd w:fill="FFFFFF"/>
          </w:tcPr>
          <w:p>
            <w:pPr>
              <w:spacing w:after="120" w:before="120"/>
            </w:pPr>
            <w:r>
              <w:t>Name one precise improvement, then give time to make it.</w:t>
            </w:r>
          </w:p>
        </w:tc>
      </w:tr>
      <w:tr>
        <w:tc>
          <w:tcPr>
            <w:tcW w:type="dxa" w:w="1701"/>
            <w:tcBorders>
              <w:top w:val="single" w:sz="6" w:color="D9D9D9"/>
              <w:left w:val="single" w:sz="6" w:color="D9D9D9"/>
              <w:bottom w:val="single" w:sz="6" w:color="D9D9D9"/>
              <w:right w:val="single" w:sz="6" w:color="D9D9D9"/>
            </w:tcBorders>
            <w:shd w:fill="F4F7F9"/>
          </w:tcPr>
          <w:p>
            <w:pPr>
              <w:spacing w:after="120" w:before="120"/>
            </w:pPr>
            <w:r>
              <w:t>Exit</w:t>
            </w:r>
          </w:p>
        </w:tc>
        <w:tc>
          <w:tcPr>
            <w:tcW w:type="dxa" w:w="1134"/>
            <w:tcBorders>
              <w:top w:val="single" w:sz="6" w:color="D9D9D9"/>
              <w:left w:val="single" w:sz="6" w:color="D9D9D9"/>
              <w:bottom w:val="single" w:sz="6" w:color="D9D9D9"/>
              <w:right w:val="single" w:sz="6" w:color="D9D9D9"/>
            </w:tcBorders>
            <w:shd w:fill="F4F7F9"/>
          </w:tcPr>
          <w:p>
            <w:pPr>
              <w:spacing w:after="120" w:before="120"/>
            </w:pPr>
            <w:r>
              <w:t>3</w:t>
            </w:r>
          </w:p>
        </w:tc>
        <w:tc>
          <w:tcPr>
            <w:tcW w:type="dxa" w:w="6803"/>
            <w:tcBorders>
              <w:top w:val="single" w:sz="6" w:color="D9D9D9"/>
              <w:left w:val="single" w:sz="6" w:color="D9D9D9"/>
              <w:bottom w:val="single" w:sz="6" w:color="D9D9D9"/>
              <w:right w:val="single" w:sz="6" w:color="D9D9D9"/>
            </w:tcBorders>
            <w:shd w:fill="F4F7F9"/>
          </w:tcPr>
          <w:p>
            <w:pPr>
              <w:spacing w:after="120" w:before="120"/>
            </w:pPr>
            <w:r>
              <w:t>Use the independent response to decide whether to revisit, consolidate or extend.</w:t>
            </w:r>
          </w:p>
        </w:tc>
      </w:tr>
    </w:tbl>
    <w:p>
      <w:pPr>
        <w:pStyle w:val="Heading1"/>
      </w:pPr>
      <w:r>
        <w:t>Worked model</w:t>
      </w:r>
    </w:p>
    <w:p>
      <w:r>
        <w:t>Question: Where does this route finish? Start at S. Move right, then down.</w:t>
      </w:r>
    </w:p>
    <w:p>
      <w:r>
        <w:t>Evidence: The key names S as school. One move right reaches L, the library.</w:t>
      </w:r>
    </w:p>
    <w:p>
      <w:r>
        <w:t>Explain: One move down from L reaches X, the crossing. X is the destination.</w:t>
      </w:r>
    </w:p>
    <w:p>
      <w:r>
        <w:t>Check: Trace S to L to X again. Two moves, no diagonal jump.</w:t>
      </w:r>
    </w:p>
    <w:p>
      <w:r>
        <w:br w:type="page"/>
      </w:r>
    </w:p>
    <w:p>
      <w:pPr>
        <w:pStyle w:val="Title"/>
      </w:pPr>
      <w:r>
        <w:t>Answers and checks</w:t>
      </w:r>
    </w:p>
    <w:p>
      <w:pPr>
        <w:pStyle w:val="Subtitle"/>
      </w:pPr>
      <w:r>
        <w:t>Keep separate from pupil resources</w:t>
      </w:r>
    </w:p>
    <w:p>
      <w:pPr>
        <w:pStyle w:val="Heading2"/>
      </w:pPr>
      <w:r>
        <w:t>Arrival Supported</w:t>
      </w:r>
    </w:p>
    <w:p>
      <w:r>
        <w:t>1. S is in the top-left square.</w:t>
      </w:r>
    </w:p>
    <w:p>
      <w:r>
        <w:t>2. Right is towards the key.</w:t>
      </w:r>
    </w:p>
    <w:p>
      <w:r>
        <w:t>3. B, the bus stop.</w:t>
      </w:r>
    </w:p>
    <w:p>
      <w:r>
        <w:t>4. A destination is the place a route ends.</w:t>
      </w:r>
    </w:p>
    <w:p>
      <w:pPr>
        <w:pStyle w:val="Heading2"/>
      </w:pPr>
      <w:r>
        <w:t>Arrival Standard</w:t>
      </w:r>
    </w:p>
    <w:p>
      <w:r>
        <w:t>1. S means school.</w:t>
      </w:r>
    </w:p>
    <w:p>
      <w:r>
        <w:t>2. L, the library.</w:t>
      </w:r>
    </w:p>
    <w:p>
      <w:r>
        <w:t>3. X, the crossing.</w:t>
      </w:r>
    </w:p>
    <w:p>
      <w:r>
        <w:t>4. The place a route ends.</w:t>
      </w:r>
    </w:p>
    <w:p>
      <w:pPr>
        <w:pStyle w:val="Heading2"/>
      </w:pPr>
      <w:r>
        <w:t>Arrival Stretch</w:t>
      </w:r>
    </w:p>
    <w:p>
      <w:r>
        <w:t>1. L, the library.</w:t>
      </w:r>
    </w:p>
    <w:p>
      <w:r>
        <w:t>2. F, the flats.</w:t>
      </w:r>
    </w:p>
    <w:p>
      <w:r>
        <w:t>3. Different starts can give different destinations.</w:t>
      </w:r>
    </w:p>
    <w:p>
      <w:r>
        <w:t>4. Right then down, or down then right.</w:t>
      </w:r>
    </w:p>
    <w:p>
      <w:pPr>
        <w:pStyle w:val="Heading1"/>
      </w:pPr>
      <w:r>
        <w:t>Shared activity</w:t>
      </w:r>
    </w:p>
    <w:p>
      <w:r>
        <w:t>1. X: Crossing. S to L to X is right, then down.</w:t>
      </w:r>
    </w:p>
    <w:p>
      <w:r>
        <w:t>2. T: Sports court. S to B to T is two moves down.</w:t>
      </w:r>
    </w:p>
    <w:p>
      <w:r>
        <w:t>3. X: Crossing. P to H to X is down, then left.</w:t>
      </w:r>
    </w:p>
    <w:p>
      <w:r>
        <w:t>4. X: Crossing. F to C to X is left, then up.</w:t>
      </w:r>
    </w:p>
    <w:p>
      <w:r>
        <w:t>5. T: Sports court. X to B to T is left, then down.</w:t>
      </w:r>
    </w:p>
    <w:p>
      <w:pPr>
        <w:pStyle w:val="Heading1"/>
      </w:pPr>
      <w:r>
        <w:t>Check the method</w:t>
      </w:r>
    </w:p>
    <w:p>
      <w:r>
        <w:t>The destination is X, the crossing. H needs one more move right. Trace S to L to X.</w:t>
      </w:r>
    </w:p>
    <w:p>
      <w:r>
        <w:br w:type="page"/>
      </w:r>
    </w:p>
    <w:p>
      <w:pPr>
        <w:pStyle w:val="Title"/>
      </w:pPr>
      <w:r>
        <w:t>Assessment and feedback</w:t>
      </w:r>
    </w:p>
    <w:p>
      <w:pPr>
        <w:pStyle w:val="Subtitle"/>
      </w:pPr>
      <w:r>
        <w:t>Individual evidence and next steps</w:t>
      </w:r>
    </w:p>
    <w:p>
      <w:r>
        <w:t>Keep reading and communication support. Fade route-content prompts for the final response. Record the start, route, destination and support used.</w:t>
      </w:r>
    </w:p>
    <w:p>
      <w:pPr>
        <w:pStyle w:val="Heading1"/>
      </w:pPr>
      <w:r>
        <w:t>Acceptable evidence</w:t>
      </w:r>
    </w:p>
    <w:p>
      <w:r>
        <w:t>Week 2: a correct start, a route followed on the familiar plan and an independently marked destination. A route read aloud is access support; pointing out the destination is a content prompt.</w:t>
      </w:r>
    </w:p>
    <w:p>
      <w:pPr>
        <w:pStyle w:val="Heading1"/>
      </w:pPr>
      <w:r>
        <w:t>Example feedback</w:t>
      </w:r>
    </w:p>
    <w:p>
      <w:r>
        <w:t>You found the start. Trace the first move again, then try a fresh destination.</w:t>
      </w:r>
    </w:p>
    <w:p>
      <w:r>
        <w:t>Ask which support helped; hear or view the pupil’s response. Agree one next step and give time for the pupil to act on it. Record the learner’s own response and the support used. Apply your school’s feedback codes according to the current policy.</w:t>
      </w:r>
    </w:p>
    <w:p>
      <w:pPr>
        <w:pStyle w:val="Heading1"/>
      </w:pPr>
      <w:r>
        <w:t>Source dependent answer record</w:t>
      </w:r>
    </w:p>
    <w:p>
      <w:r>
        <w:rPr>
          <w:b/>
        </w:rPr>
        <w:t>Checked plan or source labels</w:t>
      </w:r>
    </w:p>
    <w:p>
      <w:r>
        <w:t>________________________________________________________________</w:t>
      </w:r>
    </w:p>
    <w:p>
      <w:r>
        <w:rPr>
          <w:b/>
        </w:rPr>
        <w:t>Independent question set</w:t>
      </w:r>
    </w:p>
    <w:p>
      <w:r>
        <w:t>________________________________________________________________</w:t>
      </w:r>
    </w:p>
    <w:p>
      <w:r>
        <w:rPr>
          <w:b/>
        </w:rPr>
        <w:t>Expected answer checked before teaching</w:t>
      </w:r>
    </w:p>
    <w:p>
      <w:r>
        <w:t>________________________________________________________________</w:t>
      </w:r>
    </w:p>
    <w:p>
      <w:r>
        <w:rPr>
          <w:b/>
        </w:rPr>
        <w:t>Pupil’s own response and support used</w:t>
      </w:r>
    </w:p>
    <w:p>
      <w:r>
        <w:t>________________________________________________________________</w:t>
      </w:r>
    </w:p>
    <w:p>
      <w:r>
        <w:rPr>
          <w:b/>
        </w:rPr>
        <w:t>Next step after this response</w:t>
      </w:r>
    </w:p>
    <w:p>
      <w:r>
        <w:t>________________________________________________________________</w:t>
      </w:r>
    </w:p>
    <w:p>
      <w:r>
        <w:br w:type="page"/>
      </w:r>
    </w:p>
    <w:p>
      <w:pPr>
        <w:pStyle w:val="Heading1"/>
      </w:pPr>
      <w:r>
        <w:t>Lesson vocabulary</w:t>
      </w:r>
    </w:p>
    <w:p>
      <w:r>
        <w:t>Use these definitions with the lesson and knowledge organiser.</w:t>
      </w:r>
    </w:p>
    <w:p>
      <w:r>
        <w:rPr>
          <w:b/>
        </w:rPr>
        <w:t xml:space="preserve">plan — </w:t>
      </w:r>
      <w:r>
        <w:t>A view from above showing where things are.</w:t>
      </w:r>
    </w:p>
    <w:p>
      <w:r>
        <w:rPr>
          <w:b/>
        </w:rPr>
        <w:t xml:space="preserve">route — </w:t>
      </w:r>
      <w:r>
        <w:t>The way from a start to a destination.</w:t>
      </w:r>
    </w:p>
    <w:p>
      <w:r>
        <w:rPr>
          <w:b/>
        </w:rPr>
        <w:t xml:space="preserve">destination — </w:t>
      </w:r>
      <w:r>
        <w:t>The place where a route ends.</w:t>
      </w:r>
    </w:p>
    <w:p>
      <w:r>
        <w:rPr>
          <w:b/>
        </w:rPr>
        <w:t xml:space="preserve">key — </w:t>
      </w:r>
      <w:r>
        <w:t>A guide to the symbols on a map.</w:t>
      </w:r>
    </w:p>
    <w:sectPr w:rsidR="00FC693F" w:rsidRPr="0006063C" w:rsidSect="00034616">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