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Teacher notes and answers</w:t>
      </w:r>
    </w:p>
    <w:p>
      <w:pPr>
        <w:pStyle w:val="Subtitle"/>
      </w:pPr>
      <w:r>
        <w:t>Comparing two places | BUILD_SU1_W03 | STAFF ONLY</w:t>
      </w:r>
    </w:p>
    <w:p>
      <w:pPr>
        <w:pStyle w:val="Heading1"/>
      </w:pPr>
      <w:r>
        <w:t>Preparation</w:t>
      </w:r>
    </w:p>
    <w:p>
      <w:r>
        <w:t>Townside and Coastside are invented practice places. Before teaching, add two labelled local photos or a checked local plan and a contrasting place photo/map set to the editable evidence sheet. Do not present the practice plans as the learner’s actual place. Compare the same feature in both sets. A missing symbol is not proof that a feature is absent from a real place.</w:t>
      </w:r>
    </w:p>
    <w:p>
      <w:pPr>
        <w:pStyle w:val="Heading1"/>
      </w:pPr>
      <w:r>
        <w:t>Scheme of work alignment</w:t>
      </w:r>
    </w:p>
    <w:p>
      <w:r>
        <w:t>Outcome: Compare my place with a contrasting place.</w:t>
      </w:r>
    </w:p>
    <w:p>
      <w:r>
        <w:t>Teaching and application: Use two photo/map sets; build a comparison grid and explain one important contrast with evidence.</w:t>
      </w:r>
    </w:p>
    <w:p>
      <w:r>
        <w:t>Assessment: F: observation and recorded comparison.</w:t>
      </w:r>
    </w:p>
    <w:p>
      <w:r>
        <w:t>Source: Humanities Scheme of Work 2026–27(1).docx, page 11, BUILD Summer 1. No approved UAS unit code is supplied in the SoW. Check the selected unit requirements before any submission.</w:t>
      </w:r>
    </w:p>
    <w:p>
      <w:pPr>
        <w:pStyle w:val="Heading1"/>
      </w:pPr>
      <w:r>
        <w:t>Teaching and access</w:t>
      </w:r>
    </w:p>
    <w:p>
      <w:r>
        <w:t>One instruction at a time. Point, speak, draw, type or write. Use the supported route for a smaller choice set. Fade content prompts before the independent check.</w:t>
      </w:r>
    </w:p>
    <w:p>
      <w:r>
        <w:t>Use neutral language about places and avoid asking about home addresses or personal circumstances. Offer a quiet response, a partner rehearsal or a pause.</w:t>
      </w:r>
    </w:p>
    <w:p>
      <w:r>
        <w:t>Print only one arrival route and one independent route per learner. Keep these staff answers separate from pupil sheets.</w:t>
      </w:r>
    </w:p>
    <w:p>
      <w:r>
        <w:br w:type="page"/>
      </w:r>
    </w:p>
    <w:p>
      <w:pPr>
        <w:pStyle w:val="Title"/>
      </w:pPr>
      <w:r>
        <w:t>Teaching sequence</w:t>
      </w:r>
    </w:p>
    <w:p>
      <w:pPr>
        <w:pStyle w:val="Subtitle"/>
      </w:pPr>
      <w:r>
        <w:t>40 minutes with flexible pauses</w:t>
      </w:r>
    </w:p>
    <w:tbl>
      <w:tblPr>
        <w:tblW w:type="auto" w:w="0"/>
        <w:tblLayout w:type="fixed"/>
        <w:tblLook w:firstColumn="1" w:firstRow="1" w:lastColumn="0" w:lastRow="0" w:noHBand="0" w:noVBand="1" w:val="04A0"/>
      </w:tblPr>
      <w:tblGrid>
        <w:gridCol w:w="3326"/>
        <w:gridCol w:w="3326"/>
        <w:gridCol w:w="3326"/>
      </w:tblGrid>
      <w:tr>
        <w:tc>
          <w:tcPr>
            <w:tcW w:type="dxa" w:w="1701"/>
            <w:tcBorders>
              <w:top w:val="single" w:sz="6" w:color="D9D9D9"/>
              <w:left w:val="single" w:sz="6" w:color="D9D9D9"/>
              <w:bottom w:val="single" w:sz="6" w:color="D9D9D9"/>
              <w:right w:val="single" w:sz="6" w:color="D9D9D9"/>
            </w:tcBorders>
            <w:shd w:fill="E4EDF2"/>
          </w:tcPr>
          <w:p>
            <w:pPr>
              <w:spacing w:after="120" w:before="120"/>
            </w:pPr>
            <w:r>
              <w:rPr>
                <w:b/>
              </w:rPr>
              <w:t>Stage</w:t>
            </w:r>
          </w:p>
        </w:tc>
        <w:tc>
          <w:tcPr>
            <w:tcW w:type="dxa" w:w="1134"/>
            <w:tcBorders>
              <w:top w:val="single" w:sz="6" w:color="D9D9D9"/>
              <w:left w:val="single" w:sz="6" w:color="D9D9D9"/>
              <w:bottom w:val="single" w:sz="6" w:color="D9D9D9"/>
              <w:right w:val="single" w:sz="6" w:color="D9D9D9"/>
            </w:tcBorders>
            <w:shd w:fill="E4EDF2"/>
          </w:tcPr>
          <w:p>
            <w:pPr>
              <w:spacing w:after="120" w:before="120"/>
            </w:pPr>
            <w:r>
              <w:rPr>
                <w:b/>
              </w:rPr>
              <w:t>Minutes</w:t>
            </w:r>
          </w:p>
        </w:tc>
        <w:tc>
          <w:tcPr>
            <w:tcW w:type="dxa" w:w="6803"/>
            <w:tcBorders>
              <w:top w:val="single" w:sz="6" w:color="D9D9D9"/>
              <w:left w:val="single" w:sz="6" w:color="D9D9D9"/>
              <w:bottom w:val="single" w:sz="6" w:color="D9D9D9"/>
              <w:right w:val="single" w:sz="6" w:color="D9D9D9"/>
            </w:tcBorders>
            <w:shd w:fill="E4EDF2"/>
          </w:tcPr>
          <w:p>
            <w:pPr>
              <w:spacing w:after="120" w:before="120"/>
            </w:pPr>
            <w:r>
              <w:rPr>
                <w:b/>
              </w:rPr>
              <w:t>Teaching and next attempt</w:t>
            </w:r>
          </w:p>
        </w:tc>
      </w:tr>
      <w:tr>
        <w:tc>
          <w:tcPr>
            <w:tcW w:type="dxa" w:w="1701"/>
            <w:tcBorders>
              <w:top w:val="single" w:sz="6" w:color="D9D9D9"/>
              <w:left w:val="single" w:sz="6" w:color="D9D9D9"/>
              <w:bottom w:val="single" w:sz="6" w:color="D9D9D9"/>
              <w:right w:val="single" w:sz="6" w:color="D9D9D9"/>
            </w:tcBorders>
            <w:shd w:fill="FFFFFF"/>
          </w:tcPr>
          <w:p>
            <w:pPr>
              <w:spacing w:after="120" w:before="120"/>
            </w:pPr>
            <w:r>
              <w:t>Arrival</w:t>
            </w:r>
          </w:p>
        </w:tc>
        <w:tc>
          <w:tcPr>
            <w:tcW w:type="dxa" w:w="1134"/>
            <w:tcBorders>
              <w:top w:val="single" w:sz="6" w:color="D9D9D9"/>
              <w:left w:val="single" w:sz="6" w:color="D9D9D9"/>
              <w:bottom w:val="single" w:sz="6" w:color="D9D9D9"/>
              <w:right w:val="single" w:sz="6" w:color="D9D9D9"/>
            </w:tcBorders>
            <w:shd w:fill="FFFFFF"/>
          </w:tcPr>
          <w:p>
            <w:pPr>
              <w:spacing w:after="120" w:before="120"/>
            </w:pPr>
            <w:r>
              <w:t>4</w:t>
            </w:r>
          </w:p>
        </w:tc>
        <w:tc>
          <w:tcPr>
            <w:tcW w:type="dxa" w:w="6803"/>
            <w:tcBorders>
              <w:top w:val="single" w:sz="6" w:color="D9D9D9"/>
              <w:left w:val="single" w:sz="6" w:color="D9D9D9"/>
              <w:bottom w:val="single" w:sz="6" w:color="D9D9D9"/>
              <w:right w:val="single" w:sz="6" w:color="D9D9D9"/>
            </w:tcBorders>
            <w:shd w:fill="FFFFFF"/>
          </w:tcPr>
          <w:p>
            <w:pPr>
              <w:spacing w:after="120" w:before="120"/>
            </w:pPr>
            <w:r>
              <w:t>If unsure, reduce to two choices and try a new example.</w:t>
            </w:r>
          </w:p>
        </w:tc>
      </w:tr>
      <w:tr>
        <w:tc>
          <w:tcPr>
            <w:tcW w:type="dxa" w:w="1701"/>
            <w:tcBorders>
              <w:top w:val="single" w:sz="6" w:color="D9D9D9"/>
              <w:left w:val="single" w:sz="6" w:color="D9D9D9"/>
              <w:bottom w:val="single" w:sz="6" w:color="D9D9D9"/>
              <w:right w:val="single" w:sz="6" w:color="D9D9D9"/>
            </w:tcBorders>
            <w:shd w:fill="F4F7F9"/>
          </w:tcPr>
          <w:p>
            <w:pPr>
              <w:spacing w:after="120" w:before="120"/>
            </w:pPr>
            <w:r>
              <w:t>Starter</w:t>
            </w:r>
          </w:p>
        </w:tc>
        <w:tc>
          <w:tcPr>
            <w:tcW w:type="dxa" w:w="1134"/>
            <w:tcBorders>
              <w:top w:val="single" w:sz="6" w:color="D9D9D9"/>
              <w:left w:val="single" w:sz="6" w:color="D9D9D9"/>
              <w:bottom w:val="single" w:sz="6" w:color="D9D9D9"/>
              <w:right w:val="single" w:sz="6" w:color="D9D9D9"/>
            </w:tcBorders>
            <w:shd w:fill="F4F7F9"/>
          </w:tcPr>
          <w:p>
            <w:pPr>
              <w:spacing w:after="120" w:before="120"/>
            </w:pPr>
            <w:r>
              <w:t>3</w:t>
            </w:r>
          </w:p>
        </w:tc>
        <w:tc>
          <w:tcPr>
            <w:tcW w:type="dxa" w:w="6803"/>
            <w:tcBorders>
              <w:top w:val="single" w:sz="6" w:color="D9D9D9"/>
              <w:left w:val="single" w:sz="6" w:color="D9D9D9"/>
              <w:bottom w:val="single" w:sz="6" w:color="D9D9D9"/>
              <w:right w:val="single" w:sz="6" w:color="D9D9D9"/>
            </w:tcBorders>
            <w:shd w:fill="F4F7F9"/>
          </w:tcPr>
          <w:p>
            <w:pPr>
              <w:spacing w:after="120" w:before="120"/>
            </w:pPr>
            <w:r>
              <w:t>Ask for one visible clue, then hear the revised explanation.</w:t>
            </w:r>
          </w:p>
        </w:tc>
      </w:tr>
      <w:tr>
        <w:tc>
          <w:tcPr>
            <w:tcW w:type="dxa" w:w="1701"/>
            <w:tcBorders>
              <w:top w:val="single" w:sz="6" w:color="D9D9D9"/>
              <w:left w:val="single" w:sz="6" w:color="D9D9D9"/>
              <w:bottom w:val="single" w:sz="6" w:color="D9D9D9"/>
              <w:right w:val="single" w:sz="6" w:color="D9D9D9"/>
            </w:tcBorders>
            <w:shd w:fill="FFFFFF"/>
          </w:tcPr>
          <w:p>
            <w:pPr>
              <w:spacing w:after="120" w:before="120"/>
            </w:pPr>
            <w:r>
              <w:t>I do</w:t>
            </w:r>
          </w:p>
        </w:tc>
        <w:tc>
          <w:tcPr>
            <w:tcW w:type="dxa" w:w="1134"/>
            <w:tcBorders>
              <w:top w:val="single" w:sz="6" w:color="D9D9D9"/>
              <w:left w:val="single" w:sz="6" w:color="D9D9D9"/>
              <w:bottom w:val="single" w:sz="6" w:color="D9D9D9"/>
              <w:right w:val="single" w:sz="6" w:color="D9D9D9"/>
            </w:tcBorders>
            <w:shd w:fill="FFFFFF"/>
          </w:tcPr>
          <w:p>
            <w:pPr>
              <w:spacing w:after="120" w:before="120"/>
            </w:pPr>
            <w:r>
              <w:t>6</w:t>
            </w:r>
          </w:p>
        </w:tc>
        <w:tc>
          <w:tcPr>
            <w:tcW w:type="dxa" w:w="6803"/>
            <w:tcBorders>
              <w:top w:val="single" w:sz="6" w:color="D9D9D9"/>
              <w:left w:val="single" w:sz="6" w:color="D9D9D9"/>
              <w:bottom w:val="single" w:sz="6" w:color="D9D9D9"/>
              <w:right w:val="single" w:sz="6" w:color="D9D9D9"/>
            </w:tcBorders>
            <w:shd w:fill="FFFFFF"/>
          </w:tcPr>
          <w:p>
            <w:pPr>
              <w:spacing w:after="120" w:before="120"/>
            </w:pPr>
            <w:r>
              <w:t>Model one step, then let the learner do the next.</w:t>
            </w:r>
          </w:p>
        </w:tc>
      </w:tr>
      <w:tr>
        <w:tc>
          <w:tcPr>
            <w:tcW w:type="dxa" w:w="1701"/>
            <w:tcBorders>
              <w:top w:val="single" w:sz="6" w:color="D9D9D9"/>
              <w:left w:val="single" w:sz="6" w:color="D9D9D9"/>
              <w:bottom w:val="single" w:sz="6" w:color="D9D9D9"/>
              <w:right w:val="single" w:sz="6" w:color="D9D9D9"/>
            </w:tcBorders>
            <w:shd w:fill="F4F7F9"/>
          </w:tcPr>
          <w:p>
            <w:pPr>
              <w:spacing w:after="120" w:before="120"/>
            </w:pPr>
            <w:r>
              <w:t>We do</w:t>
            </w:r>
          </w:p>
        </w:tc>
        <w:tc>
          <w:tcPr>
            <w:tcW w:type="dxa" w:w="1134"/>
            <w:tcBorders>
              <w:top w:val="single" w:sz="6" w:color="D9D9D9"/>
              <w:left w:val="single" w:sz="6" w:color="D9D9D9"/>
              <w:bottom w:val="single" w:sz="6" w:color="D9D9D9"/>
              <w:right w:val="single" w:sz="6" w:color="D9D9D9"/>
            </w:tcBorders>
            <w:shd w:fill="F4F7F9"/>
          </w:tcPr>
          <w:p>
            <w:pPr>
              <w:spacing w:after="120" w:before="120"/>
            </w:pPr>
            <w:r>
              <w:t>7</w:t>
            </w:r>
          </w:p>
        </w:tc>
        <w:tc>
          <w:tcPr>
            <w:tcW w:type="dxa" w:w="6803"/>
            <w:tcBorders>
              <w:top w:val="single" w:sz="6" w:color="D9D9D9"/>
              <w:left w:val="single" w:sz="6" w:color="D9D9D9"/>
              <w:bottom w:val="single" w:sz="6" w:color="D9D9D9"/>
              <w:right w:val="single" w:sz="6" w:color="D9D9D9"/>
            </w:tcBorders>
            <w:shd w:fill="F4F7F9"/>
          </w:tcPr>
          <w:p>
            <w:pPr>
              <w:spacing w:after="120" w:before="120"/>
            </w:pPr>
            <w:r>
              <w:t>Ask the learner which support helped. Use it, hear their response and agree the next attempt.</w:t>
            </w:r>
          </w:p>
        </w:tc>
      </w:tr>
      <w:tr>
        <w:tc>
          <w:tcPr>
            <w:tcW w:type="dxa" w:w="1701"/>
            <w:tcBorders>
              <w:top w:val="single" w:sz="6" w:color="D9D9D9"/>
              <w:left w:val="single" w:sz="6" w:color="D9D9D9"/>
              <w:bottom w:val="single" w:sz="6" w:color="D9D9D9"/>
              <w:right w:val="single" w:sz="6" w:color="D9D9D9"/>
            </w:tcBorders>
            <w:shd w:fill="FFFFFF"/>
          </w:tcPr>
          <w:p>
            <w:pPr>
              <w:spacing w:after="120" w:before="120"/>
            </w:pPr>
            <w:r>
              <w:t>Check</w:t>
            </w:r>
          </w:p>
        </w:tc>
        <w:tc>
          <w:tcPr>
            <w:tcW w:type="dxa" w:w="1134"/>
            <w:tcBorders>
              <w:top w:val="single" w:sz="6" w:color="D9D9D9"/>
              <w:left w:val="single" w:sz="6" w:color="D9D9D9"/>
              <w:bottom w:val="single" w:sz="6" w:color="D9D9D9"/>
              <w:right w:val="single" w:sz="6" w:color="D9D9D9"/>
            </w:tcBorders>
            <w:shd w:fill="FFFFFF"/>
          </w:tcPr>
          <w:p>
            <w:pPr>
              <w:spacing w:after="120" w:before="120"/>
            </w:pPr>
            <w:r>
              <w:t>2</w:t>
            </w:r>
          </w:p>
        </w:tc>
        <w:tc>
          <w:tcPr>
            <w:tcW w:type="dxa" w:w="6803"/>
            <w:tcBorders>
              <w:top w:val="single" w:sz="6" w:color="D9D9D9"/>
              <w:left w:val="single" w:sz="6" w:color="D9D9D9"/>
              <w:bottom w:val="single" w:sz="6" w:color="D9D9D9"/>
              <w:right w:val="single" w:sz="6" w:color="D9D9D9"/>
            </w:tcBorders>
            <w:shd w:fill="FFFFFF"/>
          </w:tcPr>
          <w:p>
            <w:pPr>
              <w:spacing w:after="120" w:before="120"/>
            </w:pPr>
            <w:r>
              <w:t>Use the repair question to reveal the misconception; recheck with a new example.</w:t>
            </w:r>
          </w:p>
        </w:tc>
      </w:tr>
      <w:tr>
        <w:tc>
          <w:tcPr>
            <w:tcW w:type="dxa" w:w="1701"/>
            <w:tcBorders>
              <w:top w:val="single" w:sz="6" w:color="D9D9D9"/>
              <w:left w:val="single" w:sz="6" w:color="D9D9D9"/>
              <w:bottom w:val="single" w:sz="6" w:color="D9D9D9"/>
              <w:right w:val="single" w:sz="6" w:color="D9D9D9"/>
            </w:tcBorders>
            <w:shd w:fill="F4F7F9"/>
          </w:tcPr>
          <w:p>
            <w:pPr>
              <w:spacing w:after="120" w:before="120"/>
            </w:pPr>
            <w:r>
              <w:t>Independent</w:t>
            </w:r>
          </w:p>
        </w:tc>
        <w:tc>
          <w:tcPr>
            <w:tcW w:type="dxa" w:w="1134"/>
            <w:tcBorders>
              <w:top w:val="single" w:sz="6" w:color="D9D9D9"/>
              <w:left w:val="single" w:sz="6" w:color="D9D9D9"/>
              <w:bottom w:val="single" w:sz="6" w:color="D9D9D9"/>
              <w:right w:val="single" w:sz="6" w:color="D9D9D9"/>
            </w:tcBorders>
            <w:shd w:fill="F4F7F9"/>
          </w:tcPr>
          <w:p>
            <w:pPr>
              <w:spacing w:after="120" w:before="120"/>
            </w:pPr>
            <w:r>
              <w:t>12</w:t>
            </w:r>
          </w:p>
        </w:tc>
        <w:tc>
          <w:tcPr>
            <w:tcW w:type="dxa" w:w="6803"/>
            <w:tcBorders>
              <w:top w:val="single" w:sz="6" w:color="D9D9D9"/>
              <w:left w:val="single" w:sz="6" w:color="D9D9D9"/>
              <w:bottom w:val="single" w:sz="6" w:color="D9D9D9"/>
              <w:right w:val="single" w:sz="6" w:color="D9D9D9"/>
            </w:tcBorders>
            <w:shd w:fill="F4F7F9"/>
          </w:tcPr>
          <w:p>
            <w:pPr>
              <w:spacing w:after="120" w:before="120"/>
            </w:pPr>
            <w:r>
              <w:t>Fade the content prompt. Keep usual reading and communication support.</w:t>
            </w:r>
          </w:p>
        </w:tc>
      </w:tr>
      <w:tr>
        <w:tc>
          <w:tcPr>
            <w:tcW w:type="dxa" w:w="1701"/>
            <w:tcBorders>
              <w:top w:val="single" w:sz="6" w:color="D9D9D9"/>
              <w:left w:val="single" w:sz="6" w:color="D9D9D9"/>
              <w:bottom w:val="single" w:sz="6" w:color="D9D9D9"/>
              <w:right w:val="single" w:sz="6" w:color="D9D9D9"/>
            </w:tcBorders>
            <w:shd w:fill="FFFFFF"/>
          </w:tcPr>
          <w:p>
            <w:pPr>
              <w:spacing w:after="120" w:before="120"/>
            </w:pPr>
            <w:r>
              <w:t>Review</w:t>
            </w:r>
          </w:p>
        </w:tc>
        <w:tc>
          <w:tcPr>
            <w:tcW w:type="dxa" w:w="1134"/>
            <w:tcBorders>
              <w:top w:val="single" w:sz="6" w:color="D9D9D9"/>
              <w:left w:val="single" w:sz="6" w:color="D9D9D9"/>
              <w:bottom w:val="single" w:sz="6" w:color="D9D9D9"/>
              <w:right w:val="single" w:sz="6" w:color="D9D9D9"/>
            </w:tcBorders>
            <w:shd w:fill="FFFFFF"/>
          </w:tcPr>
          <w:p>
            <w:pPr>
              <w:spacing w:after="120" w:before="120"/>
            </w:pPr>
            <w:r>
              <w:t>3</w:t>
            </w:r>
          </w:p>
        </w:tc>
        <w:tc>
          <w:tcPr>
            <w:tcW w:type="dxa" w:w="6803"/>
            <w:tcBorders>
              <w:top w:val="single" w:sz="6" w:color="D9D9D9"/>
              <w:left w:val="single" w:sz="6" w:color="D9D9D9"/>
              <w:bottom w:val="single" w:sz="6" w:color="D9D9D9"/>
              <w:right w:val="single" w:sz="6" w:color="D9D9D9"/>
            </w:tcBorders>
            <w:shd w:fill="FFFFFF"/>
          </w:tcPr>
          <w:p>
            <w:pPr>
              <w:spacing w:after="120" w:before="120"/>
            </w:pPr>
            <w:r>
              <w:t>Name one precise improvement, then give time to make it.</w:t>
            </w:r>
          </w:p>
        </w:tc>
      </w:tr>
      <w:tr>
        <w:tc>
          <w:tcPr>
            <w:tcW w:type="dxa" w:w="1701"/>
            <w:tcBorders>
              <w:top w:val="single" w:sz="6" w:color="D9D9D9"/>
              <w:left w:val="single" w:sz="6" w:color="D9D9D9"/>
              <w:bottom w:val="single" w:sz="6" w:color="D9D9D9"/>
              <w:right w:val="single" w:sz="6" w:color="D9D9D9"/>
            </w:tcBorders>
            <w:shd w:fill="F4F7F9"/>
          </w:tcPr>
          <w:p>
            <w:pPr>
              <w:spacing w:after="120" w:before="120"/>
            </w:pPr>
            <w:r>
              <w:t>Exit</w:t>
            </w:r>
          </w:p>
        </w:tc>
        <w:tc>
          <w:tcPr>
            <w:tcW w:type="dxa" w:w="1134"/>
            <w:tcBorders>
              <w:top w:val="single" w:sz="6" w:color="D9D9D9"/>
              <w:left w:val="single" w:sz="6" w:color="D9D9D9"/>
              <w:bottom w:val="single" w:sz="6" w:color="D9D9D9"/>
              <w:right w:val="single" w:sz="6" w:color="D9D9D9"/>
            </w:tcBorders>
            <w:shd w:fill="F4F7F9"/>
          </w:tcPr>
          <w:p>
            <w:pPr>
              <w:spacing w:after="120" w:before="120"/>
            </w:pPr>
            <w:r>
              <w:t>3</w:t>
            </w:r>
          </w:p>
        </w:tc>
        <w:tc>
          <w:tcPr>
            <w:tcW w:type="dxa" w:w="6803"/>
            <w:tcBorders>
              <w:top w:val="single" w:sz="6" w:color="D9D9D9"/>
              <w:left w:val="single" w:sz="6" w:color="D9D9D9"/>
              <w:bottom w:val="single" w:sz="6" w:color="D9D9D9"/>
              <w:right w:val="single" w:sz="6" w:color="D9D9D9"/>
            </w:tcBorders>
            <w:shd w:fill="F4F7F9"/>
          </w:tcPr>
          <w:p>
            <w:pPr>
              <w:spacing w:after="120" w:before="120"/>
            </w:pPr>
            <w:r>
              <w:t>Use the independent response to decide whether to revisit, consolidate or extend.</w:t>
            </w:r>
          </w:p>
        </w:tc>
      </w:tr>
    </w:tbl>
    <w:p>
      <w:pPr>
        <w:pStyle w:val="Heading1"/>
      </w:pPr>
      <w:r>
        <w:t>Worked model</w:t>
      </w:r>
    </w:p>
    <w:p>
      <w:r>
        <w:t>Question: What is different about the green and open spaces shown?</w:t>
      </w:r>
    </w:p>
    <w:p>
      <w:r>
        <w:t>Evidence: Townside shows a park with a tree symbol. Coastside shows a beach beside the sea.</w:t>
      </w:r>
    </w:p>
    <w:p>
      <w:r>
        <w:t>Explain: The plans show different kinds of open space: a park and a beach.</w:t>
      </w:r>
    </w:p>
    <w:p>
      <w:r>
        <w:t>Check: Point to both symbols and keys. These plans do not tell us which place is better.</w:t>
      </w:r>
    </w:p>
    <w:p>
      <w:r>
        <w:br w:type="page"/>
      </w:r>
    </w:p>
    <w:p>
      <w:pPr>
        <w:pStyle w:val="Title"/>
      </w:pPr>
      <w:r>
        <w:t>Answers and checks</w:t>
      </w:r>
    </w:p>
    <w:p>
      <w:pPr>
        <w:pStyle w:val="Subtitle"/>
      </w:pPr>
      <w:r>
        <w:t>Keep separate from pupil resources</w:t>
      </w:r>
    </w:p>
    <w:p>
      <w:pPr>
        <w:pStyle w:val="Heading2"/>
      </w:pPr>
      <w:r>
        <w:t>Arrival Supported</w:t>
      </w:r>
    </w:p>
    <w:p>
      <w:r>
        <w:t>1. H marks the Townside shop.</w:t>
      </w:r>
    </w:p>
    <w:p>
      <w:r>
        <w:t>2. The shop is on the lower left.</w:t>
      </w:r>
    </w:p>
    <w:p>
      <w:r>
        <w:t>3. Coastside.</w:t>
      </w:r>
    </w:p>
    <w:p>
      <w:r>
        <w:t>4. A similarity: both show a shop.</w:t>
      </w:r>
    </w:p>
    <w:p>
      <w:pPr>
        <w:pStyle w:val="Heading2"/>
      </w:pPr>
      <w:r>
        <w:t>Arrival Standard</w:t>
      </w:r>
    </w:p>
    <w:p>
      <w:r>
        <w:t>1. Accept school, library, park, bus stop, crossing, shop, court, clinic or flats.</w:t>
      </w:r>
    </w:p>
    <w:p>
      <w:r>
        <w:t>2. Accept harbour, beach, sea, shop, café or homes.</w:t>
      </w:r>
    </w:p>
    <w:p>
      <w:r>
        <w:t>3. Both show shops or homes.</w:t>
      </w:r>
    </w:p>
    <w:p>
      <w:r>
        <w:t>4. Coastside: the beach label and sand beside the sea.</w:t>
      </w:r>
    </w:p>
    <w:p>
      <w:pPr>
        <w:pStyle w:val="Heading2"/>
      </w:pPr>
      <w:r>
        <w:t>Arrival Stretch</w:t>
      </w:r>
    </w:p>
    <w:p>
      <w:r>
        <w:t>1. Both show homes: Townside flats and Coastside homes.</w:t>
      </w:r>
    </w:p>
    <w:p>
      <w:r>
        <w:t>2. Townside shows a park; Coastside shows a beach.</w:t>
      </w:r>
    </w:p>
    <w:p>
      <w:r>
        <w:t>3. No. There are no noise measurements.</w:t>
      </w:r>
    </w:p>
    <w:p>
      <w:r>
        <w:t>4. No. It may be outside the selected area or omitted.</w:t>
      </w:r>
    </w:p>
    <w:p>
      <w:pPr>
        <w:pStyle w:val="Heading1"/>
      </w:pPr>
      <w:r>
        <w:t>Shared activity</w:t>
      </w:r>
    </w:p>
    <w:p>
      <w:r>
        <w:t>1. Both plans. Townside H and the Coastside shop symbol both show shops.</w:t>
      </w:r>
    </w:p>
    <w:p>
      <w:r>
        <w:t>2. Townside only. Townside P marks a park; no park symbol is shown on Coastside.</w:t>
      </w:r>
    </w:p>
    <w:p>
      <w:r>
        <w:t>3. Coastside only. The Coastside beach label marks sand beside the sea.</w:t>
      </w:r>
    </w:p>
    <w:p>
      <w:r>
        <w:t>4. Both plans. Townside F shows flats. Coastside shows homes.</w:t>
      </w:r>
    </w:p>
    <w:p>
      <w:r>
        <w:t>5. Coastside only. The harbour is labelled on Coastside; none is shown on Townside.</w:t>
      </w:r>
    </w:p>
    <w:p>
      <w:pPr>
        <w:pStyle w:val="Heading1"/>
      </w:pPr>
      <w:r>
        <w:t>Check the method</w:t>
      </w:r>
    </w:p>
    <w:p>
      <w:r>
        <w:t>No. The plan shows selected features only. We can say no school is shown, but we need more evidence to say there is no school.</w:t>
      </w:r>
    </w:p>
    <w:p>
      <w:r>
        <w:br w:type="page"/>
      </w:r>
    </w:p>
    <w:p>
      <w:pPr>
        <w:pStyle w:val="Title"/>
      </w:pPr>
      <w:r>
        <w:t>Assessment and feedback</w:t>
      </w:r>
    </w:p>
    <w:p>
      <w:pPr>
        <w:pStyle w:val="Subtitle"/>
      </w:pPr>
      <w:r>
        <w:t>Individual evidence and next steps</w:t>
      </w:r>
    </w:p>
    <w:p>
      <w:r>
        <w:t>Retain the learner’s observation and comparison. Record the source labels and support used. Accept pointing, speech, drawing or writing with evidence from both places.</w:t>
      </w:r>
    </w:p>
    <w:p>
      <w:pPr>
        <w:pStyle w:val="Heading1"/>
      </w:pPr>
      <w:r>
        <w:t>Acceptable evidence</w:t>
      </w:r>
    </w:p>
    <w:p>
      <w:r>
        <w:t>Week 3: an observation from each checked source set, an accurate comparison, and evidence for one important contrast. “Not shown” is accurate when a feature is omitted. Explanations of effects should be plausible and phrased as possibilities.</w:t>
      </w:r>
    </w:p>
    <w:p>
      <w:pPr>
        <w:pStyle w:val="Heading1"/>
      </w:pPr>
      <w:r>
        <w:t>Example feedback</w:t>
      </w:r>
    </w:p>
    <w:p>
      <w:r>
        <w:t>You described one place. Add what the same feature looks like in the second source, then try another comparison.</w:t>
      </w:r>
    </w:p>
    <w:p>
      <w:r>
        <w:t>Ask which support helped; hear or view the pupil’s response. Agree one next step and give time for the pupil to act on it. Record the learner’s own response and the support used. Apply your school’s feedback codes according to the current policy.</w:t>
      </w:r>
    </w:p>
    <w:p>
      <w:pPr>
        <w:pStyle w:val="Heading1"/>
      </w:pPr>
      <w:r>
        <w:t>Source dependent answer record</w:t>
      </w:r>
    </w:p>
    <w:p>
      <w:r>
        <w:rPr>
          <w:b/>
        </w:rPr>
        <w:t>Checked plan or source labels</w:t>
      </w:r>
    </w:p>
    <w:p>
      <w:r>
        <w:t>________________________________________________________________</w:t>
      </w:r>
    </w:p>
    <w:p>
      <w:r>
        <w:rPr>
          <w:b/>
        </w:rPr>
        <w:t>Independent question set</w:t>
      </w:r>
    </w:p>
    <w:p>
      <w:r>
        <w:t>________________________________________________________________</w:t>
      </w:r>
    </w:p>
    <w:p>
      <w:r>
        <w:rPr>
          <w:b/>
        </w:rPr>
        <w:t>Expected answer checked before teaching</w:t>
      </w:r>
    </w:p>
    <w:p>
      <w:r>
        <w:t>________________________________________________________________</w:t>
      </w:r>
    </w:p>
    <w:p>
      <w:r>
        <w:rPr>
          <w:b/>
        </w:rPr>
        <w:t>Pupil’s own response and support used</w:t>
      </w:r>
    </w:p>
    <w:p>
      <w:r>
        <w:t>________________________________________________________________</w:t>
      </w:r>
    </w:p>
    <w:p>
      <w:r>
        <w:rPr>
          <w:b/>
        </w:rPr>
        <w:t>Next step after this response</w:t>
      </w:r>
    </w:p>
    <w:p>
      <w:r>
        <w:t>________________________________________________________________</w:t>
      </w:r>
    </w:p>
    <w:p>
      <w:r>
        <w:br w:type="page"/>
      </w:r>
    </w:p>
    <w:p>
      <w:pPr>
        <w:pStyle w:val="Heading1"/>
      </w:pPr>
      <w:r>
        <w:t>Lesson vocabulary</w:t>
      </w:r>
    </w:p>
    <w:p>
      <w:r>
        <w:t>Use these definitions with the lesson and knowledge organiser.</w:t>
      </w:r>
    </w:p>
    <w:p>
      <w:r>
        <w:rPr>
          <w:b/>
        </w:rPr>
        <w:t xml:space="preserve">compare — </w:t>
      </w:r>
      <w:r>
        <w:t>Look at two things to find what is the same and different.</w:t>
      </w:r>
    </w:p>
    <w:p>
      <w:r>
        <w:rPr>
          <w:b/>
        </w:rPr>
        <w:t xml:space="preserve">similarity — </w:t>
      </w:r>
      <w:r>
        <w:t>Something that is the same or alike.</w:t>
      </w:r>
    </w:p>
    <w:p>
      <w:r>
        <w:rPr>
          <w:b/>
        </w:rPr>
        <w:t xml:space="preserve">difference — </w:t>
      </w:r>
      <w:r>
        <w:t>Something that is not the same.</w:t>
      </w:r>
    </w:p>
    <w:p>
      <w:r>
        <w:rPr>
          <w:b/>
        </w:rPr>
        <w:t xml:space="preserve">evidence — </w:t>
      </w:r>
      <w:r>
        <w:t>What we can point to or observe to support an idea.</w:t>
      </w:r>
    </w:p>
    <w:sectPr w:rsidR="00FC693F" w:rsidRPr="0006063C" w:rsidSect="00034616">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