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Fossil Formation Evidence</w:t>
      </w:r>
    </w:p>
    <w:p>
      <w:pPr>
        <w:pStyle w:val="Subtitle"/>
      </w:pPr>
      <w:r>
        <w:t>BUILD · Science · 40 minutes</w:t>
      </w:r>
    </w:p>
    <w:p>
      <w:r>
        <w:t>Use supplied fossil and layer evidence to produce a labelled fossil-formation account with an explicit uncertainty statement.</w:t>
      </w:r>
    </w:p>
    <w:p>
      <w:pPr>
        <w:pStyle w:val="Heading1"/>
      </w:pPr>
      <w:r>
        <w:t>Prepare before pupils arrive</w:t>
      </w:r>
    </w:p>
    <w:p>
      <w:r>
        <w:t>Print the pupil pack and open Lesson.pptx. Keep the uploaded HTML available for its live controls. Prepare any approved atlas/source extracts, existing learner work, authorised local data or prior planner named in the source lesson.</w:t>
      </w:r>
    </w:p>
    <w:p>
      <w:r>
        <w:t>Wait, receive and use the least prompt needed.</w:t>
      </w:r>
    </w:p>
    <w:p>
      <w:r>
        <w:t>Keep adult action separate from pupil authorship.</w:t>
      </w:r>
    </w:p>
    <w:p>
      <w:r>
        <w:t>Staff card: preserve the learning goal; change modality before changing demand.</w:t>
      </w:r>
    </w:p>
    <w:p>
      <w:r>
        <w:t>Modal guidance carrier.</w:t>
      </w:r>
    </w:p>
    <w:p>
      <w:r>
        <w:t>Fossil formation evidence · entry map: Missing provenance or preparation details remain AWAITING AUTHORISED CHECK. Link that anchor only when this second detail is relevant: A visible shape or trace can be described before its cause is inferred. For this fossil formation evidence decision, use pointing, selecting, signing, speaking, typing or exact-word scribing; the learner still chooses the evidence, order, comparison or action. Staff supporting fossil formation evidence may steady the named materials and read the displayed source exactly. They do not upgrade the fossil formation evidence response, fill its missing result or convert its plan into completion. If access to fossil formation evidence stalls, pause, lower visual density or move to the printed route while keeping the same reasoning demand.</w:t>
      </w:r>
    </w:p>
    <w:p>
      <w:r>
        <w:t>For review or assessment lessons, prepare the centre-approved questions, outcomes and existing learner records. Practice cards and a completed worksheet do not supply missing assessment evidence.</w:t>
      </w:r>
    </w:p>
    <w:p>
      <w:pPr>
        <w:pStyle w:val="Heading2"/>
      </w:pPr>
      <w:r>
        <w:t>Access and participation</w:t>
      </w:r>
    </w:p>
    <w:p>
      <w:r>
        <w:t>Offer reading aloud, pointing, signing, quiet thinking, a no-touch route and exact scribing where these support the learner. Keep the same subject decision. In shared work, let each learner commit before feedback; use a partner as card mover or checker, then swap. Avoid public speed rankings.</w:t>
      </w:r>
    </w:p>
    <w:p>
      <w:r>
        <w:t>Uploaded outcome: Describe how fossils are formed over a very long time (Mary Anning).</w:t>
      </w:r>
    </w:p>
    <w:p>
      <w:r>
        <w:t>Uploaded workbook locator: 'BUILD Weekly - Spring'!C28</w:t>
      </w:r>
    </w:p>
    <w:p>
      <w:pPr>
        <w:pStyle w:val="Heading1"/>
      </w:pPr>
      <w:r>
        <w:t>40-minute teaching sequence</w:t>
      </w:r>
    </w:p>
    <w:tbl>
      <w:tblPr>
        <w:tblW w:type="dxa" w:w="9865"/>
        <w:jc w:val="center"/>
        <w:tblLayout w:type="fixed"/>
        <w:tblLook w:firstColumn="1" w:firstRow="1" w:lastColumn="0" w:lastRow="0" w:noHBand="0" w:noVBand="1" w:val="04A0"/>
        <w:tblInd w:w="0" w:type="dxa"/>
        <w:tblCellMar>
          <w:top w:w="90" w:type="dxa"/>
          <w:left w:w="90" w:type="dxa"/>
          <w:bottom w:w="90" w:type="dxa"/>
          <w:right w:w="90" w:type="dxa"/>
        </w:tblCellMar>
      </w:tblPr>
      <w:tblGrid>
        <w:gridCol w:w="3288"/>
        <w:gridCol w:w="3288"/>
        <w:gridCol w:w="3288"/>
      </w:tblGrid>
      <w:tr>
        <w:trPr>
          <w:cantSplit/>
          <w:tblHeader/>
        </w:trPr>
        <w:tc>
          <w:tcPr>
            <w:tcW w:type="dxa" w:w="3288"/>
            <w:vAlign w:val="top"/>
            <w:shd w:fill="4E7A9B"/>
          </w:tcPr>
          <w:p>
            <w:pPr>
              <w:spacing w:after="60" w:line="269" w:lineRule="auto"/>
            </w:pPr>
            <w:r>
              <w:rPr>
                <w:rFonts w:ascii="Arial" w:hAnsi="Arial"/>
                <w:b/>
                <w:color w:val="FFFFFF"/>
                <w:sz w:val="20"/>
              </w:rPr>
              <w:t>Stage / total time</w:t>
            </w:r>
          </w:p>
        </w:tc>
        <w:tc>
          <w:tcPr>
            <w:tcW w:type="dxa" w:w="3288"/>
            <w:vAlign w:val="top"/>
            <w:shd w:fill="4E7A9B"/>
          </w:tcPr>
          <w:p>
            <w:pPr>
              <w:spacing w:after="60" w:line="269" w:lineRule="auto"/>
            </w:pPr>
            <w:r>
              <w:rPr>
                <w:rFonts w:ascii="Arial" w:hAnsi="Arial"/>
                <w:b/>
                <w:color w:val="FFFFFF"/>
                <w:sz w:val="20"/>
              </w:rPr>
              <w:t>Teaching move</w:t>
            </w:r>
          </w:p>
        </w:tc>
        <w:tc>
          <w:tcPr>
            <w:tcW w:type="dxa" w:w="3288"/>
            <w:vAlign w:val="top"/>
            <w:shd w:fill="4E7A9B"/>
          </w:tcPr>
          <w:p>
            <w:pPr>
              <w:spacing w:after="60" w:line="269" w:lineRule="auto"/>
            </w:pPr>
            <w:r>
              <w:rPr>
                <w:rFonts w:ascii="Arial" w:hAnsi="Arial"/>
                <w:b/>
                <w:color w:val="FFFFFF"/>
                <w:sz w:val="20"/>
              </w:rPr>
              <w:t>Adult support / response</w:t>
            </w:r>
          </w:p>
        </w:tc>
      </w:tr>
      <w:tr>
        <w:trPr>
          <w:cantSplit/>
        </w:trPr>
        <w:tc>
          <w:tcPr>
            <w:tcW w:type="dxa" w:w="3288"/>
            <w:vAlign w:val="top"/>
            <w:shd w:fill="FFFFFF"/>
          </w:tcPr>
          <w:p>
            <w:pPr>
              <w:spacing w:after="60" w:line="269" w:lineRule="auto"/>
            </w:pPr>
            <w:r>
              <w:rPr>
                <w:rFonts w:ascii="Arial" w:hAnsi="Arial"/>
                <w:b w:val="0"/>
                <w:color w:val="18233F"/>
                <w:sz w:val="20"/>
              </w:rPr>
              <w:t>Arrival · 3 min</w:t>
            </w:r>
          </w:p>
        </w:tc>
        <w:tc>
          <w:tcPr>
            <w:tcW w:type="dxa" w:w="3288"/>
            <w:vAlign w:val="top"/>
            <w:shd w:fill="FFFFFF"/>
          </w:tcPr>
          <w:p>
            <w:pPr>
              <w:spacing w:after="60" w:line="269" w:lineRule="auto"/>
            </w:pPr>
            <w:r>
              <w:rPr>
                <w:rFonts w:ascii="Arial" w:hAnsi="Arial"/>
                <w:b w:val="0"/>
                <w:color w:val="18233F"/>
                <w:sz w:val="20"/>
              </w:rPr>
              <w:t>A visible shape or trace can be described before its cause is inferred. Relative layer position can help organise a formation account but does not supply an exact date here.</w:t>
            </w:r>
          </w:p>
        </w:tc>
        <w:tc>
          <w:tcPr>
            <w:tcW w:type="dxa" w:w="3288"/>
            <w:vAlign w:val="top"/>
            <w:shd w:fill="FFFFFF"/>
          </w:tcPr>
          <w:p>
            <w:pPr>
              <w:spacing w:after="60" w:line="269" w:lineRule="auto"/>
            </w:pPr>
            <w:r>
              <w:rPr>
                <w:rFonts w:ascii="Arial" w:hAnsi="Arial"/>
                <w:b w:val="0"/>
                <w:color w:val="18233F"/>
                <w:sz w:val="20"/>
              </w:rPr>
              <w:t>Wait, receive and use the least prompt needed. Keep adult action separate from pupil authorship.</w:t>
            </w:r>
          </w:p>
        </w:tc>
      </w:tr>
      <w:tr>
        <w:trPr>
          <w:cantSplit/>
        </w:trPr>
        <w:tc>
          <w:tcPr>
            <w:tcW w:type="dxa" w:w="3288"/>
            <w:vAlign w:val="top"/>
            <w:shd w:fill="F1F5F6"/>
          </w:tcPr>
          <w:p>
            <w:pPr>
              <w:spacing w:after="60" w:line="269" w:lineRule="auto"/>
            </w:pPr>
            <w:r>
              <w:rPr>
                <w:rFonts w:ascii="Arial" w:hAnsi="Arial"/>
                <w:b w:val="0"/>
                <w:color w:val="18233F"/>
                <w:sz w:val="20"/>
              </w:rPr>
              <w:t>Starter · 3 min</w:t>
            </w:r>
          </w:p>
        </w:tc>
        <w:tc>
          <w:tcPr>
            <w:tcW w:type="dxa" w:w="3288"/>
            <w:vAlign w:val="top"/>
            <w:shd w:fill="F1F5F6"/>
          </w:tcPr>
          <w:p>
            <w:pPr>
              <w:spacing w:after="60" w:line="269" w:lineRule="auto"/>
            </w:pPr>
            <w:r>
              <w:rPr>
                <w:rFonts w:ascii="Arial" w:hAnsi="Arial"/>
                <w:b w:val="0"/>
                <w:color w:val="18233F"/>
                <w:sz w:val="20"/>
              </w:rPr>
              <w:t>Picture first: five stages. Today you find the evidence for each one in the supplied specimens.</w:t>
            </w:r>
          </w:p>
        </w:tc>
        <w:tc>
          <w:tcPr>
            <w:tcW w:type="dxa" w:w="3288"/>
            <w:vAlign w:val="top"/>
            <w:shd w:fill="F1F5F6"/>
          </w:tcPr>
          <w:p>
            <w:pPr>
              <w:spacing w:after="60" w:line="269" w:lineRule="auto"/>
            </w:pPr>
            <w:r>
              <w:rPr>
                <w:rFonts w:ascii="Arial" w:hAnsi="Arial"/>
                <w:b w:val="0"/>
                <w:color w:val="18233F"/>
                <w:sz w:val="20"/>
              </w:rPr>
              <w:t>Wait, receive and use the least prompt needed. Keep adult action separate from pupil authorship.</w:t>
            </w:r>
          </w:p>
        </w:tc>
      </w:tr>
      <w:tr>
        <w:trPr>
          <w:cantSplit/>
        </w:trPr>
        <w:tc>
          <w:tcPr>
            <w:tcW w:type="dxa" w:w="3288"/>
            <w:vAlign w:val="top"/>
            <w:shd w:fill="FFFFFF"/>
          </w:tcPr>
          <w:p>
            <w:pPr>
              <w:spacing w:after="60" w:line="269" w:lineRule="auto"/>
            </w:pPr>
            <w:r>
              <w:rPr>
                <w:rFonts w:ascii="Arial" w:hAnsi="Arial"/>
                <w:b w:val="0"/>
                <w:color w:val="18233F"/>
                <w:sz w:val="20"/>
              </w:rPr>
              <w:t>I do · 4 min</w:t>
            </w:r>
          </w:p>
        </w:tc>
        <w:tc>
          <w:tcPr>
            <w:tcW w:type="dxa" w:w="3288"/>
            <w:vAlign w:val="top"/>
            <w:shd w:fill="FFFFFF"/>
          </w:tcPr>
          <w:p>
            <w:pPr>
              <w:spacing w:after="60" w:line="269" w:lineRule="auto"/>
            </w:pPr>
            <w:r>
              <w:rPr>
                <w:rFonts w:ascii="Arial" w:hAnsi="Arial"/>
                <w:b w:val="0"/>
                <w:color w:val="18233F"/>
                <w:sz w:val="20"/>
              </w:rPr>
              <w:t>Fossil evidence matcher Choose a feature you can see in the supplied evidence, then the part of the formation account it supports. IMPRESSION a shape or mark preserved in material LAYER material laid down over or under other material INFERENCE an explanation drawn from evidence rather than seen directly Describe the supplied image first: outline, texture and layer position.</w:t>
            </w:r>
          </w:p>
        </w:tc>
        <w:tc>
          <w:tcPr>
            <w:tcW w:type="dxa" w:w="3288"/>
            <w:vAlign w:val="top"/>
            <w:shd w:fill="FFFFFF"/>
          </w:tcPr>
          <w:p>
            <w:pPr>
              <w:spacing w:after="60" w:line="269" w:lineRule="auto"/>
            </w:pPr>
            <w:r>
              <w:rPr>
                <w:rFonts w:ascii="Arial" w:hAnsi="Arial"/>
                <w:b w:val="0"/>
                <w:color w:val="18233F"/>
                <w:sz w:val="20"/>
              </w:rPr>
              <w:t>Wait, receive and use the least prompt needed. Keep adult action separate from pupil authorship.</w:t>
            </w:r>
          </w:p>
        </w:tc>
      </w:tr>
      <w:tr>
        <w:trPr>
          <w:cantSplit/>
        </w:trPr>
        <w:tc>
          <w:tcPr>
            <w:tcW w:type="dxa" w:w="3288"/>
            <w:vAlign w:val="top"/>
            <w:shd w:fill="F1F5F6"/>
          </w:tcPr>
          <w:p>
            <w:pPr>
              <w:spacing w:after="60" w:line="269" w:lineRule="auto"/>
            </w:pPr>
            <w:r>
              <w:rPr>
                <w:rFonts w:ascii="Arial" w:hAnsi="Arial"/>
                <w:b w:val="0"/>
                <w:color w:val="18233F"/>
                <w:sz w:val="20"/>
              </w:rPr>
              <w:t>We do · 3 min</w:t>
            </w:r>
          </w:p>
        </w:tc>
        <w:tc>
          <w:tcPr>
            <w:tcW w:type="dxa" w:w="3288"/>
            <w:vAlign w:val="top"/>
            <w:shd w:fill="F1F5F6"/>
          </w:tcPr>
          <w:p>
            <w:pPr>
              <w:spacing w:after="60" w:line="269" w:lineRule="auto"/>
            </w:pPr>
            <w:r>
              <w:rPr>
                <w:rFonts w:ascii="Arial" w:hAnsi="Arial"/>
                <w:b w:val="0"/>
                <w:color w:val="18233F"/>
                <w:sz w:val="20"/>
              </w:rPr>
              <w:t>A labelled diagram must keep observed features separate from inferred stages. Missing provenance or preparation details remain AWAITING AUTHORISED CHECK.</w:t>
            </w:r>
          </w:p>
        </w:tc>
        <w:tc>
          <w:tcPr>
            <w:tcW w:type="dxa" w:w="3288"/>
            <w:vAlign w:val="top"/>
            <w:shd w:fill="F1F5F6"/>
          </w:tcPr>
          <w:p>
            <w:pPr>
              <w:spacing w:after="60" w:line="269" w:lineRule="auto"/>
            </w:pPr>
            <w:r>
              <w:rPr>
                <w:rFonts w:ascii="Arial" w:hAnsi="Arial"/>
                <w:b w:val="0"/>
                <w:color w:val="18233F"/>
                <w:sz w:val="20"/>
              </w:rPr>
              <w:t>Wait, receive and use the least prompt needed. Keep adult action separate from pupil authorship.</w:t>
            </w:r>
          </w:p>
        </w:tc>
      </w:tr>
      <w:tr>
        <w:trPr>
          <w:cantSplit/>
        </w:trPr>
        <w:tc>
          <w:tcPr>
            <w:tcW w:type="dxa" w:w="3288"/>
            <w:vAlign w:val="top"/>
            <w:shd w:fill="FFFFFF"/>
          </w:tcPr>
          <w:p>
            <w:pPr>
              <w:spacing w:after="60" w:line="269" w:lineRule="auto"/>
            </w:pPr>
            <w:r>
              <w:rPr>
                <w:rFonts w:ascii="Arial" w:hAnsi="Arial"/>
                <w:b w:val="0"/>
                <w:color w:val="18233F"/>
                <w:sz w:val="20"/>
              </w:rPr>
              <w:t>I do 2 · 3 min</w:t>
            </w:r>
          </w:p>
        </w:tc>
        <w:tc>
          <w:tcPr>
            <w:tcW w:type="dxa" w:w="3288"/>
            <w:vAlign w:val="top"/>
            <w:shd w:fill="FFFFFF"/>
          </w:tcPr>
          <w:p>
            <w:pPr>
              <w:spacing w:after="60" w:line="269" w:lineRule="auto"/>
            </w:pPr>
            <w:r>
              <w:rPr>
                <w:rFonts w:ascii="Arial" w:hAnsi="Arial"/>
                <w:b w:val="0"/>
                <w:color w:val="18233F"/>
                <w:sz w:val="20"/>
              </w:rPr>
              <w:t>Available evidence A visible shape or trace can be described before its cause is inferred. Reasoning move Relative layer position can help organise a formation account but does not supply an exact date here.</w:t>
            </w:r>
          </w:p>
        </w:tc>
        <w:tc>
          <w:tcPr>
            <w:tcW w:type="dxa" w:w="3288"/>
            <w:vAlign w:val="top"/>
            <w:shd w:fill="FFFFFF"/>
          </w:tcPr>
          <w:p>
            <w:pPr>
              <w:spacing w:after="60" w:line="269" w:lineRule="auto"/>
            </w:pPr>
            <w:r>
              <w:rPr>
                <w:rFonts w:ascii="Arial" w:hAnsi="Arial"/>
                <w:b w:val="0"/>
                <w:color w:val="18233F"/>
                <w:sz w:val="20"/>
              </w:rPr>
              <w:t>Wait, receive and use the least prompt needed. Keep adult action separate from pupil authorship.</w:t>
            </w:r>
          </w:p>
        </w:tc>
      </w:tr>
      <w:tr>
        <w:trPr>
          <w:cantSplit/>
        </w:trPr>
        <w:tc>
          <w:tcPr>
            <w:tcW w:type="dxa" w:w="3288"/>
            <w:vAlign w:val="top"/>
            <w:shd w:fill="F1F5F6"/>
          </w:tcPr>
          <w:p>
            <w:pPr>
              <w:spacing w:after="60" w:line="269" w:lineRule="auto"/>
            </w:pPr>
            <w:r>
              <w:rPr>
                <w:rFonts w:ascii="Arial" w:hAnsi="Arial"/>
                <w:b w:val="0"/>
                <w:color w:val="18233F"/>
                <w:sz w:val="20"/>
              </w:rPr>
              <w:t>We do 2 · 4 min</w:t>
            </w:r>
          </w:p>
        </w:tc>
        <w:tc>
          <w:tcPr>
            <w:tcW w:type="dxa" w:w="3288"/>
            <w:vAlign w:val="top"/>
            <w:shd w:fill="F1F5F6"/>
          </w:tcPr>
          <w:p>
            <w:pPr>
              <w:spacing w:after="60" w:line="269" w:lineRule="auto"/>
            </w:pPr>
            <w:r>
              <w:rPr>
                <w:rFonts w:ascii="Arial" w:hAnsi="Arial"/>
                <w:b w:val="0"/>
                <w:color w:val="18233F"/>
                <w:sz w:val="20"/>
              </w:rPr>
              <w:t>Supported Match observation cards to three labelled stages and choose one uncertainty frame. Standard Annotate four observable details and connect them to a sequenced formation account.</w:t>
            </w:r>
          </w:p>
        </w:tc>
        <w:tc>
          <w:tcPr>
            <w:tcW w:type="dxa" w:w="3288"/>
            <w:vAlign w:val="top"/>
            <w:shd w:fill="F1F5F6"/>
          </w:tcPr>
          <w:p>
            <w:pPr>
              <w:spacing w:after="60" w:line="269" w:lineRule="auto"/>
            </w:pPr>
            <w:r>
              <w:rPr>
                <w:rFonts w:ascii="Arial" w:hAnsi="Arial"/>
                <w:b w:val="0"/>
                <w:color w:val="18233F"/>
                <w:sz w:val="20"/>
              </w:rPr>
              <w:t>Wait, receive and use the least prompt needed. Keep adult action separate from pupil authorship.</w:t>
            </w:r>
          </w:p>
        </w:tc>
      </w:tr>
      <w:tr>
        <w:trPr>
          <w:cantSplit/>
        </w:trPr>
        <w:tc>
          <w:tcPr>
            <w:tcW w:type="dxa" w:w="3288"/>
            <w:vAlign w:val="top"/>
            <w:shd w:fill="FFFFFF"/>
          </w:tcPr>
          <w:p>
            <w:pPr>
              <w:spacing w:after="60" w:line="269" w:lineRule="auto"/>
            </w:pPr>
            <w:r>
              <w:rPr>
                <w:rFonts w:ascii="Arial" w:hAnsi="Arial"/>
                <w:b w:val="0"/>
                <w:color w:val="18233F"/>
                <w:sz w:val="20"/>
              </w:rPr>
              <w:t>Independent · 16 min</w:t>
            </w:r>
          </w:p>
        </w:tc>
        <w:tc>
          <w:tcPr>
            <w:tcW w:type="dxa" w:w="3288"/>
            <w:vAlign w:val="top"/>
            <w:shd w:fill="FFFFFF"/>
          </w:tcPr>
          <w:p>
            <w:pPr>
              <w:spacing w:after="60" w:line="269" w:lineRule="auto"/>
            </w:pPr>
            <w:r>
              <w:rPr>
                <w:rFonts w:ascii="Arial" w:hAnsi="Arial"/>
                <w:b w:val="0"/>
                <w:color w:val="18233F"/>
                <w:sz w:val="20"/>
              </w:rPr>
              <w:t>Create a two-column fossil evidence record. On the left, annotate observable details from the approved specimen, replica or image.</w:t>
            </w:r>
          </w:p>
        </w:tc>
        <w:tc>
          <w:tcPr>
            <w:tcW w:type="dxa" w:w="3288"/>
            <w:vAlign w:val="top"/>
            <w:shd w:fill="FFFFFF"/>
          </w:tcPr>
          <w:p>
            <w:pPr>
              <w:spacing w:after="60" w:line="269" w:lineRule="auto"/>
            </w:pPr>
            <w:r>
              <w:rPr>
                <w:rFonts w:ascii="Arial" w:hAnsi="Arial"/>
                <w:b w:val="0"/>
                <w:color w:val="18233F"/>
                <w:sz w:val="20"/>
              </w:rPr>
              <w:t>Wait, receive and use the least prompt needed. Keep adult action separate from pupil authorship.</w:t>
            </w:r>
          </w:p>
        </w:tc>
      </w:tr>
      <w:tr>
        <w:trPr>
          <w:cantSplit/>
        </w:trPr>
        <w:tc>
          <w:tcPr>
            <w:tcW w:type="dxa" w:w="3288"/>
            <w:vAlign w:val="top"/>
            <w:shd w:fill="F1F5F6"/>
          </w:tcPr>
          <w:p>
            <w:pPr>
              <w:spacing w:after="60" w:line="269" w:lineRule="auto"/>
            </w:pPr>
            <w:r>
              <w:rPr>
                <w:rFonts w:ascii="Arial" w:hAnsi="Arial"/>
                <w:b w:val="0"/>
                <w:color w:val="18233F"/>
                <w:sz w:val="20"/>
              </w:rPr>
              <w:t>Exit · 4 min</w:t>
            </w:r>
          </w:p>
        </w:tc>
        <w:tc>
          <w:tcPr>
            <w:tcW w:type="dxa" w:w="3288"/>
            <w:vAlign w:val="top"/>
            <w:shd w:fill="F1F5F6"/>
          </w:tcPr>
          <w:p>
            <w:pPr>
              <w:spacing w:after="60" w:line="269" w:lineRule="auto"/>
            </w:pPr>
            <w:r>
              <w:rPr>
                <w:rFonts w:ascii="Arial" w:hAnsi="Arial"/>
                <w:b w:val="0"/>
                <w:color w:val="18233F"/>
                <w:sz w:val="20"/>
              </w:rPr>
              <w:t>Read one observation and the inference connected to it. The adult names which part was seen and which was inferred.</w:t>
            </w:r>
          </w:p>
        </w:tc>
        <w:tc>
          <w:tcPr>
            <w:tcW w:type="dxa" w:w="3288"/>
            <w:vAlign w:val="top"/>
            <w:shd w:fill="F1F5F6"/>
          </w:tcPr>
          <w:p>
            <w:pPr>
              <w:spacing w:after="60" w:line="269" w:lineRule="auto"/>
            </w:pPr>
            <w:r>
              <w:rPr>
                <w:rFonts w:ascii="Arial" w:hAnsi="Arial"/>
                <w:b w:val="0"/>
                <w:color w:val="18233F"/>
                <w:sz w:val="20"/>
              </w:rPr>
              <w:t>Wait, receive and use the least prompt needed. Keep adult action separate from pupil authorship.</w:t>
            </w:r>
          </w:p>
        </w:tc>
      </w:tr>
    </w:tbl>
    <w:p>
      <w:pPr>
        <w:spacing w:after="0"/>
      </w:pPr>
    </w:p>
    <w:p>
      <w:r>
        <w:t>The timing belongs to the whole stage. Several PowerPoint slides may share it; do not restart that time on every slide. Full source-stage text is in the PowerPoint speaker notes and original HTML.</w:t>
      </w:r>
    </w:p>
    <w:p>
      <w:pPr>
        <w:pStyle w:val="Heading1"/>
        <w:pageBreakBefore/>
      </w:pPr>
      <w:r>
        <w:t>Answers, evidence and feedback</w:t>
      </w:r>
    </w:p>
    <w:p>
      <w:r>
        <w:t>This is an open evidence task. Judge accuracy against the supplied source or approved mark points, the evidence chosen, the explanation and the stated limit. A personal preference or self-rating has no single correct answer.</w:t>
      </w:r>
    </w:p>
    <w:p>
      <w:pPr>
        <w:pStyle w:val="Heading2"/>
      </w:pPr>
      <w:r>
        <w:t>Record the teaching response</w:t>
      </w:r>
    </w:p>
    <w:tbl>
      <w:tblPr>
        <w:tblW w:type="dxa" w:w="9865"/>
        <w:jc w:val="center"/>
        <w:tblLayout w:type="fixed"/>
        <w:tblLook w:firstColumn="1" w:firstRow="1" w:lastColumn="0" w:lastRow="0" w:noHBand="0" w:noVBand="1" w:val="04A0"/>
        <w:tblInd w:w="0" w:type="dxa"/>
        <w:tblCellMar>
          <w:top w:w="90" w:type="dxa"/>
          <w:left w:w="90" w:type="dxa"/>
          <w:bottom w:w="90" w:type="dxa"/>
          <w:right w:w="90" w:type="dxa"/>
        </w:tblCellMar>
      </w:tblPr>
      <w:tblGrid>
        <w:gridCol w:w="4932"/>
        <w:gridCol w:w="4932"/>
      </w:tblGrid>
      <w:tr>
        <w:trPr>
          <w:cantSplit/>
          <w:tblHeader/>
        </w:trPr>
        <w:tc>
          <w:tcPr>
            <w:tcW w:type="dxa" w:w="4932"/>
            <w:vAlign w:val="top"/>
            <w:shd w:fill="4E7A9B"/>
          </w:tcPr>
          <w:p>
            <w:pPr>
              <w:spacing w:after="60" w:line="269" w:lineRule="auto"/>
            </w:pPr>
            <w:r>
              <w:rPr>
                <w:rFonts w:ascii="Arial" w:hAnsi="Arial"/>
                <w:b/>
                <w:color w:val="FFFFFF"/>
                <w:sz w:val="21"/>
              </w:rPr>
              <w:t>What the learner actually showed</w:t>
            </w:r>
          </w:p>
        </w:tc>
        <w:tc>
          <w:tcPr>
            <w:tcW w:type="dxa" w:w="4932"/>
            <w:vAlign w:val="top"/>
            <w:shd w:fill="4E7A9B"/>
          </w:tcPr>
          <w:p>
            <w:pPr>
              <w:spacing w:after="60" w:line="269" w:lineRule="auto"/>
            </w:pPr>
            <w:r>
              <w:rPr>
                <w:rFonts w:ascii="Arial" w:hAnsi="Arial"/>
                <w:b/>
                <w:color w:val="FFFFFF"/>
                <w:sz w:val="21"/>
              </w:rPr>
              <w:t>Next teaching action</w:t>
            </w:r>
          </w:p>
        </w:tc>
      </w:tr>
      <w:tr>
        <w:trPr>
          <w:cantSplit/>
        </w:trPr>
        <w:tc>
          <w:tcPr>
            <w:tcW w:type="dxa" w:w="4932"/>
            <w:vAlign w:val="top"/>
            <w:shd w:fill="FFFFFF"/>
          </w:tcPr>
          <w:p>
            <w:pPr>
              <w:spacing w:after="60" w:line="269" w:lineRule="auto"/>
            </w:pPr>
            <w:r>
              <w:rPr>
                <w:rFonts w:ascii="Arial" w:hAnsi="Arial"/>
                <w:b w:val="0"/>
                <w:color w:val="18233F"/>
                <w:sz w:val="21"/>
              </w:rPr>
              <w:t>Secure explanation with evidence</w:t>
            </w:r>
          </w:p>
        </w:tc>
        <w:tc>
          <w:tcPr>
            <w:tcW w:type="dxa" w:w="4932"/>
            <w:vAlign w:val="top"/>
            <w:shd w:fill="FFFFFF"/>
          </w:tcPr>
          <w:p>
            <w:pPr>
              <w:spacing w:after="60" w:line="269" w:lineRule="auto"/>
            </w:pPr>
            <w:r>
              <w:rPr>
                <w:rFonts w:ascii="Arial" w:hAnsi="Arial"/>
                <w:b w:val="0"/>
                <w:color w:val="18233F"/>
                <w:sz w:val="21"/>
              </w:rPr>
              <w:t>Reduce content prompting; offer another example or a limitation.</w:t>
            </w:r>
          </w:p>
        </w:tc>
      </w:tr>
      <w:tr>
        <w:trPr>
          <w:cantSplit/>
        </w:trPr>
        <w:tc>
          <w:tcPr>
            <w:tcW w:type="dxa" w:w="4932"/>
            <w:vAlign w:val="top"/>
            <w:shd w:fill="F1F5F6"/>
          </w:tcPr>
          <w:p>
            <w:pPr>
              <w:spacing w:after="60" w:line="269" w:lineRule="auto"/>
            </w:pPr>
            <w:r>
              <w:rPr>
                <w:rFonts w:ascii="Arial" w:hAnsi="Arial"/>
                <w:b w:val="0"/>
                <w:color w:val="18233F"/>
                <w:sz w:val="21"/>
              </w:rPr>
              <w:t>Partly correct / mixed</w:t>
            </w:r>
          </w:p>
        </w:tc>
        <w:tc>
          <w:tcPr>
            <w:tcW w:type="dxa" w:w="4932"/>
            <w:vAlign w:val="top"/>
            <w:shd w:fill="F1F5F6"/>
          </w:tcPr>
          <w:p>
            <w:pPr>
              <w:spacing w:after="60" w:line="269" w:lineRule="auto"/>
            </w:pPr>
            <w:r>
              <w:rPr>
                <w:rFonts w:ascii="Arial" w:hAnsi="Arial"/>
                <w:b w:val="0"/>
                <w:color w:val="18233F"/>
                <w:sz w:val="21"/>
              </w:rPr>
              <w:t>Point to the deciding evidence and invite a revision.</w:t>
            </w:r>
          </w:p>
        </w:tc>
      </w:tr>
      <w:tr>
        <w:trPr>
          <w:cantSplit/>
        </w:trPr>
        <w:tc>
          <w:tcPr>
            <w:tcW w:type="dxa" w:w="4932"/>
            <w:vAlign w:val="top"/>
            <w:shd w:fill="FFFFFF"/>
          </w:tcPr>
          <w:p>
            <w:pPr>
              <w:spacing w:after="60" w:line="269" w:lineRule="auto"/>
            </w:pPr>
            <w:r>
              <w:rPr>
                <w:rFonts w:ascii="Arial" w:hAnsi="Arial"/>
                <w:b w:val="0"/>
                <w:color w:val="18233F"/>
                <w:sz w:val="21"/>
              </w:rPr>
              <w:t>Access barrier</w:t>
            </w:r>
          </w:p>
        </w:tc>
        <w:tc>
          <w:tcPr>
            <w:tcW w:type="dxa" w:w="4932"/>
            <w:vAlign w:val="top"/>
            <w:shd w:fill="FFFFFF"/>
          </w:tcPr>
          <w:p>
            <w:pPr>
              <w:spacing w:after="60" w:line="269" w:lineRule="auto"/>
            </w:pPr>
            <w:r>
              <w:rPr>
                <w:rFonts w:ascii="Arial" w:hAnsi="Arial"/>
                <w:b w:val="0"/>
                <w:color w:val="18233F"/>
                <w:sz w:val="21"/>
              </w:rPr>
              <w:t>Change the reading, sensory or response format; keep the subject decision.</w:t>
            </w:r>
          </w:p>
        </w:tc>
      </w:tr>
      <w:tr>
        <w:trPr>
          <w:cantSplit/>
        </w:trPr>
        <w:tc>
          <w:tcPr>
            <w:tcW w:type="dxa" w:w="4932"/>
            <w:vAlign w:val="top"/>
            <w:shd w:fill="F1F5F6"/>
          </w:tcPr>
          <w:p>
            <w:pPr>
              <w:spacing w:after="60" w:line="269" w:lineRule="auto"/>
            </w:pPr>
            <w:r>
              <w:rPr>
                <w:rFonts w:ascii="Arial" w:hAnsi="Arial"/>
                <w:b w:val="0"/>
                <w:color w:val="18233F"/>
                <w:sz w:val="21"/>
              </w:rPr>
              <w:t>Missing source or observation</w:t>
            </w:r>
          </w:p>
        </w:tc>
        <w:tc>
          <w:tcPr>
            <w:tcW w:type="dxa" w:w="4932"/>
            <w:vAlign w:val="top"/>
            <w:shd w:fill="F1F5F6"/>
          </w:tcPr>
          <w:p>
            <w:pPr>
              <w:spacing w:after="60" w:line="269" w:lineRule="auto"/>
            </w:pPr>
            <w:r>
              <w:rPr>
                <w:rFonts w:ascii="Arial" w:hAnsi="Arial"/>
                <w:b w:val="0"/>
                <w:color w:val="18233F"/>
                <w:sz w:val="21"/>
              </w:rPr>
              <w:t>Keep the gap visible. Name the source or authorised check needed.</w:t>
            </w:r>
          </w:p>
        </w:tc>
      </w:tr>
    </w:tbl>
    <w:p>
      <w:pPr>
        <w:spacing w:after="0"/>
      </w:pPr>
    </w:p>
    <w:p>
      <w:pPr>
        <w:pStyle w:val="Heading2"/>
      </w:pPr>
      <w:r>
        <w:t>Safety and evidence boundary</w:t>
      </w:r>
    </w:p>
    <w:p>
      <w:r>
        <w:t>Use the centre’s authorised practical or fieldwork method and local risk assessment. Supplied sample data, fictional place models, card feedback and rehearsals are teaching material. They are not the learner’s practical observations or proof of a qualification outcome. For portfolio use, check the exact registered unit/version, accepted evidence and centre process.</w:t>
      </w:r>
    </w:p>
    <w:p>
      <w:pPr>
        <w:pStyle w:val="Heading1"/>
      </w:pPr>
      <w:r>
        <w:t>Sources and companion notes</w:t>
      </w:r>
    </w:p>
    <w:p>
      <w:r>
        <w:t>Primary classroom source: SCI_B_W15B_Fossil_Formation_Evidence_Do.html</w:t>
      </w:r>
    </w:p>
    <w:p>
      <w:r>
        <w:t>The uploaded lesson is included unchanged. Text and teaching steps in the PowerPoint are editable; source diagrams are placed images. Word booklets are editable. Static PDFs cannot reproduce HTML controls; use the paper cards/tables or open the original HTML.</w:t>
      </w:r>
    </w:p>
    <w:p>
      <w:r>
        <w:t>Verification scope: matched to the uploaded title, pathway, objective, stage sequence and 40-minute timing. Embedded workbook references are retained as source locators; this is not a new line-by-line audit of every scheme-of-work row or a centre assessment sign-off.</w:t>
      </w:r>
    </w:p>
    <w:sectPr w:rsidR="00FC693F" w:rsidRPr="0006063C" w:rsidSect="00034616">
      <w:headerReference w:type="default" r:id="rId9"/>
      <w:footerReference w:type="default" r:id="rId10"/>
      <w:pgSz w:w="11906" w:h="16838"/>
      <w:pgMar w:top="1020" w:right="1020" w:bottom="1020" w:left="1020"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t xml:space="preserve">SCI_B_W15B_Fossil_Formation_Evidence_Do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rFonts w:ascii="Arial" w:hAnsi="Arial"/>
        <w:color w:val="4E7A9B"/>
        <w:sz w:val="18"/>
      </w:rPr>
      <w:t>BUILD  /  SCIENCE    •    TEACHER PACK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18233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Arial" w:hAnsi="Arial"/>
      <w:b/>
      <w:bCs/>
      <w:color w:val="4E7A9B"/>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4E7A9B"/>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rial" w:hAnsi="Arial"/>
      <w:b/>
      <w:bCs/>
      <w:color w:val="4E7A9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b/>
      <w:color w:val="4E7A9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76" w:lineRule="auto"/>
    </w:pPr>
    <w:rPr>
      <w:rFonts w:ascii="Arial" w:hAnsi="Arial"/>
      <w:color w:val="18233F"/>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76" w:lineRule="auto"/>
      <w:ind w:left="340" w:hanging="170"/>
      <w:contextualSpacing/>
    </w:pPr>
    <w:rPr>
      <w:rFonts w:ascii="Arial" w:hAnsi="Arial"/>
      <w:color w:val="18233F"/>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76" w:lineRule="auto"/>
      <w:ind w:left="340" w:hanging="170"/>
      <w:contextualSpacing/>
    </w:pPr>
    <w:rPr>
      <w:rFonts w:ascii="Arial" w:hAnsi="Arial"/>
      <w:color w:val="18233F"/>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