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Staff answers and response guide</w:t>
      </w:r>
    </w:p>
    <w:p>
      <w:r>
        <w:rPr>
          <w:b w:val="0"/>
        </w:rPr>
        <w:t>Complete a practice application</w:t>
      </w:r>
    </w:p>
    <w:p>
      <w:r>
        <w:rPr>
          <w:b w:val="0"/>
        </w:rPr>
        <w:t>These are possible responses and task guides, not learner observations. Accept a defensible answer based on the facts or actual work. Record each learner’s reasoning and support.</w:t>
      </w:r>
    </w:p>
    <w:p>
      <w:pPr>
        <w:pStyle w:val="Heading1"/>
      </w:pPr>
      <w:r>
        <w:rPr>
          <w:b w:val="0"/>
        </w:rPr>
        <w:t>Card key</w:t>
      </w:r>
    </w:p>
    <w:tbl>
      <w:tblPr>
        <w:tblStyle w:val="TableGrid"/>
        <w:tblW w:type="auto" w:w="0"/>
        <w:tblLayout w:type="fixed"/>
        <w:tblLook w:firstColumn="1" w:firstRow="1" w:lastColumn="0" w:lastRow="0" w:noHBand="0" w:noVBand="1" w:val="04A0"/>
      </w:tblPr>
      <w:tblGrid>
        <w:gridCol w:w="936"/>
        <w:gridCol w:w="4320"/>
        <w:gridCol w:w="4680"/>
      </w:tblGrid>
      <w:tr>
        <w:trPr>
          <w:tblHeader/>
          <w:cantSplit/>
        </w:trPr>
        <w:tc>
          <w:tcPr>
            <w:tcW w:type="dxa" w:w="936"/>
          </w:tcPr>
          <w:p>
            <w:pPr>
              <w:spacing w:after="80" w:before="60"/>
            </w:pPr>
            <w:r>
              <w:rPr>
                <w:b/>
                <w:sz w:val="21"/>
              </w:rPr>
              <w:t>Card</w:t>
            </w:r>
          </w:p>
        </w:tc>
        <w:tc>
          <w:tcPr>
            <w:tcW w:type="dxa" w:w="4320"/>
          </w:tcPr>
          <w:p>
            <w:pPr>
              <w:spacing w:after="80" w:before="60"/>
            </w:pPr>
            <w:r>
              <w:rPr>
                <w:b/>
                <w:sz w:val="21"/>
              </w:rPr>
              <w:t>Judgement or step</w:t>
            </w:r>
          </w:p>
        </w:tc>
        <w:tc>
          <w:tcPr>
            <w:tcW w:type="dxa" w:w="4680"/>
          </w:tcPr>
          <w:p>
            <w:pPr>
              <w:spacing w:after="80" w:before="60"/>
            </w:pPr>
            <w:r>
              <w:rPr>
                <w:b/>
                <w:sz w:val="21"/>
              </w:rPr>
              <w:t>Possible action</w:t>
            </w:r>
          </w:p>
        </w:tc>
      </w:tr>
      <w:tr>
        <w:trPr>
          <w:cantSplit/>
        </w:trPr>
        <w:tc>
          <w:tcPr>
            <w:tcW w:type="dxa" w:w="936"/>
          </w:tcPr>
          <w:p>
            <w:pPr>
              <w:spacing w:after="80" w:before="60"/>
            </w:pPr>
            <w:r>
              <w:rPr>
                <w:b w:val="0"/>
                <w:sz w:val="21"/>
              </w:rPr>
              <w:t>A</w:t>
            </w:r>
          </w:p>
        </w:tc>
        <w:tc>
          <w:tcPr>
            <w:tcW w:type="dxa" w:w="4320"/>
          </w:tcPr>
          <w:p>
            <w:pPr>
              <w:spacing w:after="80" w:before="60"/>
            </w:pPr>
            <w:r>
              <w:rPr>
                <w:b w:val="0"/>
                <w:sz w:val="21"/>
              </w:rPr>
              <w:t>Does not answer the question. No link to the role is explained.</w:t>
            </w:r>
          </w:p>
        </w:tc>
        <w:tc>
          <w:tcPr>
            <w:tcW w:type="dxa" w:w="4680"/>
          </w:tcPr>
          <w:p>
            <w:pPr>
              <w:spacing w:after="80" w:before="60"/>
            </w:pPr>
            <w:r>
              <w:rPr>
                <w:b w:val="0"/>
                <w:sz w:val="21"/>
              </w:rPr>
              <w:t>State an honest interest linked to a task or skill in the brief.</w:t>
            </w:r>
          </w:p>
        </w:tc>
      </w:tr>
      <w:tr>
        <w:trPr>
          <w:cantSplit/>
        </w:trPr>
        <w:tc>
          <w:tcPr>
            <w:tcW w:type="dxa" w:w="936"/>
          </w:tcPr>
          <w:p>
            <w:pPr>
              <w:spacing w:after="80" w:before="60"/>
            </w:pPr>
            <w:r>
              <w:rPr>
                <w:b w:val="0"/>
                <w:sz w:val="21"/>
              </w:rPr>
              <w:t>B</w:t>
            </w:r>
          </w:p>
        </w:tc>
        <w:tc>
          <w:tcPr>
            <w:tcW w:type="dxa" w:w="4320"/>
          </w:tcPr>
          <w:p>
            <w:pPr>
              <w:spacing w:after="80" w:before="60"/>
            </w:pPr>
            <w:r>
              <w:rPr>
                <w:b w:val="0"/>
                <w:sz w:val="21"/>
              </w:rPr>
              <w:t>Relevant evidence. The response links their action to the skill.</w:t>
            </w:r>
          </w:p>
        </w:tc>
        <w:tc>
          <w:tcPr>
            <w:tcW w:type="dxa" w:w="4680"/>
          </w:tcPr>
          <w:p>
            <w:pPr>
              <w:spacing w:after="80" w:before="60"/>
            </w:pPr>
            <w:r>
              <w:rPr>
                <w:b w:val="0"/>
                <w:sz w:val="21"/>
              </w:rPr>
              <w:t>Explain what they did and any help used.</w:t>
            </w:r>
          </w:p>
        </w:tc>
      </w:tr>
      <w:tr>
        <w:trPr>
          <w:cantSplit/>
        </w:trPr>
        <w:tc>
          <w:tcPr>
            <w:tcW w:type="dxa" w:w="936"/>
          </w:tcPr>
          <w:p>
            <w:pPr>
              <w:spacing w:after="80" w:before="60"/>
            </w:pPr>
            <w:r>
              <w:rPr>
                <w:b w:val="0"/>
                <w:sz w:val="21"/>
              </w:rPr>
              <w:t>C</w:t>
            </w:r>
          </w:p>
        </w:tc>
        <w:tc>
          <w:tcPr>
            <w:tcW w:type="dxa" w:w="4320"/>
          </w:tcPr>
          <w:p>
            <w:pPr>
              <w:spacing w:after="80" w:before="60"/>
            </w:pPr>
            <w:r>
              <w:rPr>
                <w:b w:val="0"/>
                <w:sz w:val="21"/>
              </w:rPr>
              <w:t>Needs checking. An achieved result is not known.</w:t>
            </w:r>
          </w:p>
        </w:tc>
        <w:tc>
          <w:tcPr>
            <w:tcW w:type="dxa" w:w="4680"/>
          </w:tcPr>
          <w:p>
            <w:pPr>
              <w:spacing w:after="80" w:before="60"/>
            </w:pPr>
            <w:r>
              <w:rPr>
                <w:b w:val="0"/>
                <w:sz w:val="21"/>
              </w:rPr>
              <w:t>Record in progress or to check, as accurate, then ask staff.</w:t>
            </w:r>
          </w:p>
        </w:tc>
      </w:tr>
      <w:tr>
        <w:trPr>
          <w:cantSplit/>
        </w:trPr>
        <w:tc>
          <w:tcPr>
            <w:tcW w:type="dxa" w:w="936"/>
          </w:tcPr>
          <w:p>
            <w:pPr>
              <w:spacing w:after="80" w:before="60"/>
            </w:pPr>
            <w:r>
              <w:rPr>
                <w:b w:val="0"/>
                <w:sz w:val="21"/>
              </w:rPr>
              <w:t>D</w:t>
            </w:r>
          </w:p>
        </w:tc>
        <w:tc>
          <w:tcPr>
            <w:tcW w:type="dxa" w:w="4320"/>
          </w:tcPr>
          <w:p>
            <w:pPr>
              <w:spacing w:after="80" w:before="60"/>
            </w:pPr>
            <w:r>
              <w:rPr>
                <w:b w:val="0"/>
                <w:sz w:val="21"/>
              </w:rPr>
              <w:t>Needs editing. Length has not made the answer relevant.</w:t>
            </w:r>
          </w:p>
        </w:tc>
        <w:tc>
          <w:tcPr>
            <w:tcW w:type="dxa" w:w="4680"/>
          </w:tcPr>
          <w:p>
            <w:pPr>
              <w:spacing w:after="80" w:before="60"/>
            </w:pPr>
            <w:r>
              <w:rPr>
                <w:b w:val="0"/>
                <w:sz w:val="21"/>
              </w:rPr>
              <w:t>Keep the key action and reason that answer the question.</w:t>
            </w:r>
          </w:p>
        </w:tc>
      </w:tr>
      <w:tr>
        <w:trPr>
          <w:cantSplit/>
        </w:trPr>
        <w:tc>
          <w:tcPr>
            <w:tcW w:type="dxa" w:w="936"/>
          </w:tcPr>
          <w:p>
            <w:pPr>
              <w:spacing w:after="80" w:before="60"/>
            </w:pPr>
            <w:r>
              <w:rPr>
                <w:b w:val="0"/>
                <w:sz w:val="21"/>
              </w:rPr>
              <w:t>E</w:t>
            </w:r>
          </w:p>
        </w:tc>
        <w:tc>
          <w:tcPr>
            <w:tcW w:type="dxa" w:w="4320"/>
          </w:tcPr>
          <w:p>
            <w:pPr>
              <w:spacing w:after="80" w:before="60"/>
            </w:pPr>
            <w:r>
              <w:rPr>
                <w:b w:val="0"/>
                <w:sz w:val="21"/>
              </w:rPr>
              <w:t>Availability unconfirmed. A commitment has not been checked.</w:t>
            </w:r>
          </w:p>
        </w:tc>
        <w:tc>
          <w:tcPr>
            <w:tcW w:type="dxa" w:w="4680"/>
          </w:tcPr>
          <w:p>
            <w:pPr>
              <w:spacing w:after="80" w:before="60"/>
            </w:pPr>
            <w:r>
              <w:rPr>
                <w:b w:val="0"/>
                <w:sz w:val="21"/>
              </w:rPr>
              <w:t>Mark it to check with the appropriate adult before agreeing.</w:t>
            </w:r>
          </w:p>
        </w:tc>
      </w:tr>
      <w:tr>
        <w:trPr>
          <w:cantSplit/>
        </w:trPr>
        <w:tc>
          <w:tcPr>
            <w:tcW w:type="dxa" w:w="936"/>
          </w:tcPr>
          <w:p>
            <w:pPr>
              <w:spacing w:after="80" w:before="60"/>
            </w:pPr>
            <w:r>
              <w:rPr>
                <w:b w:val="0"/>
                <w:sz w:val="21"/>
              </w:rPr>
              <w:t>F</w:t>
            </w:r>
          </w:p>
        </w:tc>
        <w:tc>
          <w:tcPr>
            <w:tcW w:type="dxa" w:w="4320"/>
          </w:tcPr>
          <w:p>
            <w:pPr>
              <w:spacing w:after="80" w:before="60"/>
            </w:pPr>
            <w:r>
              <w:rPr>
                <w:b w:val="0"/>
                <w:sz w:val="21"/>
              </w:rPr>
              <w:t>Not authentic evidence. A filled box is not proof the experience belongs to the learner.</w:t>
            </w:r>
          </w:p>
        </w:tc>
        <w:tc>
          <w:tcPr>
            <w:tcW w:type="dxa" w:w="4680"/>
          </w:tcPr>
          <w:p>
            <w:pPr>
              <w:spacing w:after="80" w:before="60"/>
            </w:pPr>
            <w:r>
              <w:rPr>
                <w:b w:val="0"/>
                <w:sz w:val="21"/>
              </w:rPr>
              <w:t>Replace it with a true example or an honest gap.</w:t>
            </w:r>
          </w:p>
        </w:tc>
      </w:tr>
    </w:tbl>
    <w:p>
      <w:pPr>
        <w:pStyle w:val="Heading1"/>
      </w:pPr>
      <w:r>
        <w:rPr>
          <w:b w:val="0"/>
        </w:rPr>
        <w:t>Model and hinge</w:t>
      </w:r>
    </w:p>
    <w:p>
      <w:r>
        <w:rPr>
          <w:b w:val="0"/>
        </w:rPr>
        <w:t>Adult example: Explain a time you checked work. Task: I had to sort class kit by label. Action: I checked each item against the list. Result: I found one item in the wrong place. This example fits the role’s checking task. It is a model; use your own true experience.</w:t>
      </w:r>
    </w:p>
    <w:p>
      <w:r>
        <w:rPr>
          <w:b w:val="0"/>
        </w:rPr>
        <w:t>B answers the question with authentic experience. A repeats requirements without evidence; C invents work history. Ask which part the learner did and whether the example matches the question. Reteach with a clearly labelled adult example, then ask the learner to choose their own. A justified not-yet/to-check entry is better than a fabricated answer.</w:t>
      </w:r>
    </w:p>
    <w:p>
      <w:pPr>
        <w:pStyle w:val="Heading1"/>
      </w:pPr>
      <w:r>
        <w:rPr>
          <w:b w:val="0"/>
        </w:rPr>
        <w:t>Individual evidence key</w:t>
      </w:r>
    </w:p>
    <w:p>
      <w:r>
        <w:rPr>
          <w:b w:val="0"/>
        </w:rPr>
        <w:t>Check the form answers the actual prompts: role/reference, interest, relevant skill and real example, learning/experience status, availability status, and a clear review. A to-check entry can be honest but does not prove the missing information is complete. Record the learner’s revision after feedback. Distinguish application-writing skill from a real job application; no consent, signature, reference, employment status or success outcome is prefilled.</w:t>
      </w:r>
    </w:p>
    <w:p>
      <w:r>
        <w:br w:type="page"/>
      </w:r>
    </w:p>
    <w:p>
      <w:pPr>
        <w:pStyle w:val="Heading1"/>
      </w:pPr>
      <w:r>
        <w:rPr>
          <w:b w:val="0"/>
        </w:rPr>
        <w:t>Feedback boundaries and next teaching</w:t>
      </w:r>
    </w:p>
    <w:p>
      <w:r>
        <w:rPr>
          <w:b w:val="0"/>
        </w:rPr>
        <w:t>Card A: A learner may decide the role is not for them and give a reason.</w:t>
      </w:r>
    </w:p>
    <w:p>
      <w:r>
        <w:rPr>
          <w:b w:val="0"/>
        </w:rPr>
        <w:t>Card B: Paid experience is not the only relevant experience.</w:t>
      </w:r>
    </w:p>
    <w:p>
      <w:r>
        <w:rPr>
          <w:b w:val="0"/>
        </w:rPr>
        <w:t>Card C: Do not invent a grade or award.</w:t>
      </w:r>
    </w:p>
    <w:p>
      <w:r>
        <w:rPr>
          <w:b w:val="0"/>
        </w:rPr>
        <w:t>Card D: Accept concise speech or scribing as an accessible response.</w:t>
      </w:r>
    </w:p>
    <w:p>
      <w:r>
        <w:rPr>
          <w:b w:val="0"/>
        </w:rPr>
        <w:t>Card E: No availability is filled in for the learner.</w:t>
      </w:r>
    </w:p>
    <w:p>
      <w:r>
        <w:rPr>
          <w:b w:val="0"/>
        </w:rPr>
        <w:t>Card F: Check ownership before storing evidence; this form is not submitted.</w:t>
      </w:r>
    </w:p>
    <w:p>
      <w:pPr>
        <w:pStyle w:val="Heading1"/>
      </w:pPr>
      <w:r>
        <w:rPr>
          <w:b w:val="0"/>
        </w:rPr>
        <w:t>Common misunderstandings</w:t>
      </w:r>
    </w:p>
    <w:p>
      <w:r>
        <w:rPr>
          <w:b w:val="0"/>
        </w:rPr>
        <w:t>A filled box is not automatically a good answer. Copying a model does not make it a personal achievement. Match the question before adding detail. A draft with an honest gap is not a submitted application.</w:t>
      </w:r>
    </w:p>
    <w:p>
      <w:pPr>
        <w:pStyle w:val="Heading1"/>
      </w:pPr>
      <w:r>
        <w:rPr>
          <w:b w:val="0"/>
        </w:rPr>
        <w:t>Teaching boundary</w:t>
      </w:r>
    </w:p>
    <w:p>
      <w:r>
        <w:rPr>
          <w:b w:val="0"/>
        </w:rPr>
        <w:t>Use learner ID only. Keep personal contact details, school and staff names, health/disability information and referee details out of the practice form. No signatures or commitments are required. Use truthful learner examples and mark unknowns. Staff check any real future application separately through the agreed private route.</w:t>
      </w:r>
    </w:p>
    <w:p>
      <w:pPr>
        <w:pStyle w:val="Heading1"/>
      </w:pPr>
      <w:r>
        <w:rPr>
          <w:b w:val="0"/>
        </w:rPr>
        <w:t>Feedback</w:t>
      </w:r>
    </w:p>
    <w:p>
      <w:r>
        <w:rPr>
          <w:b w:val="0"/>
        </w:rPr>
        <w:t>If a reason is missing, return to the fact or actual work. Re-model a different example, then keep the learner’s own revision. Use NS+ and the learner response in their own colour before R. E means evidence actually banked. Keep safeguarding records separate.</w:t>
      </w:r>
    </w:p>
    <w:p>
      <w:pPr>
        <w:pStyle w:val="Heading1"/>
      </w:pPr>
      <w:r>
        <w:rPr>
          <w:b w:val="0"/>
        </w:rPr>
        <w:t>Assessment boundary</w:t>
      </w:r>
    </w:p>
    <w:p>
      <w:r>
        <w:rPr>
          <w:b w:val="0"/>
        </w:rPr>
        <w:t>CAREERS-LAUNCH-A2-W2-E1 contributes to the source assessment. No criterion, registration or award completion is invented. Sources: FACTS_LEDGER.md.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CAREERS-LAUNCH-A2-W02 · School and Public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Staff answers and response guide</dc:title>
  <dc:subject>CAREERS-LAUNCH-A2-W02</dc:subject>
  <dc:creator/>
  <cp:keywords/>
  <dc:description/>
  <cp:lastModifiedBy/>
  <cp:revision>1</cp:revision>
  <dcterms:created xsi:type="dcterms:W3CDTF">2026-10-24T00:00:00Z</dcterms:created>
  <dcterms:modified xsi:type="dcterms:W3CDTF">2026-10-24T00:00:00Z</dcterms:modified>
  <cp:category/>
</cp:coreProperties>
</file>