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CV and application portfolio review</w:t>
      </w:r>
    </w:p>
    <w:p>
      <w:r>
        <w:rPr>
          <w:b w:val="0"/>
        </w:rPr>
        <w:t>Week beginning 14 December 2026 · one 40-minute lesson</w:t>
      </w:r>
    </w:p>
    <w:p>
      <w:r>
        <w:rPr>
          <w:b w:val="0"/>
        </w:rPr>
        <w:t>Actual teaching date __________________  Staff role ______________</w:t>
      </w:r>
    </w:p>
    <w:p>
      <w:r>
        <w:rPr>
          <w:b w:val="0"/>
        </w:rPr>
        <w:t>Year A · Term theme: Identity &amp; Belonging — LAUNCH - Autumn!C19</w:t>
      </w:r>
    </w:p>
    <w:p>
      <w:pPr>
        <w:pStyle w:val="Heading1"/>
      </w:pPr>
      <w:r>
        <w:rPr>
          <w:b w:val="0"/>
        </w:rPr>
        <w:t>Exact scheme cells</w:t>
      </w:r>
    </w:p>
    <w:p>
      <w:r>
        <w:rPr>
          <w:b w:val="0"/>
        </w:rPr>
        <w:t>LAUNCH Weekly - Autumn!C115: CV &amp; application portfolio (Dec).</w:t>
      </w:r>
    </w:p>
    <w:p>
      <w:r>
        <w:rPr>
          <w:b w:val="0"/>
        </w:rPr>
        <w:t>LAUNCH - Autumn!D19: Applications, CVs &amp; digital footprint</w:t>
      </w:r>
    </w:p>
    <w:p>
      <w:r>
        <w:rPr>
          <w:b w:val="0"/>
        </w:rPr>
        <w:t>LAUNCH - Autumn!I19: The qualification: accredited units for applications and interviews.</w:t>
      </w:r>
    </w:p>
    <w:p>
      <w:r>
        <w:rPr>
          <w:b w:val="0"/>
        </w:rPr>
        <w:t>LAUNCH - Autumn!J19: F: draft CV feedback.  S: completed CV + mock-interview assessment (Dec data drop).</w:t>
      </w:r>
    </w:p>
    <w:p>
      <w:r>
        <w:rPr>
          <w:b w:val="0"/>
          <w:sz w:val="19"/>
        </w:rPr>
        <w:t>Names in source labels are expressed in plain generic wording. No registration, criterion or qualification completion is inferred.</w:t>
      </w:r>
    </w:p>
    <w:p>
      <w:pPr>
        <w:pStyle w:val="Heading1"/>
      </w:pPr>
      <w:r>
        <w:rPr>
          <w:b w:val="0"/>
        </w:rPr>
        <w:t>Purpose and success checks</w:t>
      </w:r>
    </w:p>
    <w:p>
      <w:r>
        <w:rPr>
          <w:b w:val="0"/>
        </w:rPr>
        <w:t>What can my work show, and what is still to do?</w:t>
      </w:r>
    </w:p>
    <w:p>
      <w:r>
        <w:rPr>
          <w:b w:val="0"/>
        </w:rPr>
        <w:t>I can show my CV and application work. I can explain one true example in a short interview. I can name a strength, a gap and a next step.</w:t>
      </w:r>
    </w:p>
    <w:p>
      <w:r>
        <w:rPr>
          <w:b w:val="0"/>
          <w:sz w:val="19"/>
        </w:rPr>
        <w:t>CAREERS-LAUNCH-A2-W7-E1: An individual Week 7 assessment record linked to the actual CV, application and portfolio, a short mock-interview exchange with initial answers and prompts, a distinct feedback response, observed support, missing evidence, teacher judgement and a learner-agreed next step.</w:t>
      </w:r>
    </w:p>
    <w:p>
      <w:pPr>
        <w:pStyle w:val="Heading1"/>
      </w:pPr>
      <w:r>
        <w:rPr>
          <w:b w:val="0"/>
        </w:rPr>
        <w:t>Before pupils arrive</w:t>
      </w:r>
    </w:p>
    <w:p>
      <w:r>
        <w:rPr>
          <w:b w:val="0"/>
        </w:rPr>
        <w:t>Bring each learner’s actual portfolio and index. Confirm accessible response modes and a quiet individual interview space. Use the same fictional role brief and three questions supplied. Prepare separate records for the pair. Do not show model answers during assessment. If prior work is unavailable, record not yet and arrange a follow-up; a new blank template is not evidence.</w:t>
      </w:r>
    </w:p>
    <w:p>
      <w:pPr>
        <w:pStyle w:val="Heading1"/>
      </w:pPr>
      <w:r>
        <w:rPr>
          <w:b w:val="0"/>
        </w:rPr>
        <w:t>Calendar and continuity</w:t>
      </w:r>
    </w:p>
    <w:p>
      <w:r>
        <w:rPr>
          <w:b w:val="0"/>
        </w:rPr>
        <w:t>Year A, Autumn 2 Week 7: 14–18 December 2026. One 40-minute Careers lesson. No day or clock slot is inferred. Week 7 is the assessing lesson. Record actual dates and missing prior work honestly.</w:t>
      </w:r>
    </w:p>
    <w:p>
      <w:pPr>
        <w:pStyle w:val="Heading1"/>
      </w:pPr>
      <w:r>
        <w:rPr>
          <w:b w:val="0"/>
        </w:rPr>
        <w:t>Where this leads</w:t>
      </w:r>
    </w:p>
    <w:p>
      <w:r>
        <w:rPr>
          <w:b w:val="0"/>
        </w:rPr>
        <w:t>This helps me explain my skills and choose a clear next step for work or training.</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648"/>
        <w:gridCol w:w="576"/>
        <w:gridCol w:w="8712"/>
      </w:tblGrid>
      <w:tr>
        <w:trPr>
          <w:tblHeader/>
        </w:trPr>
        <w:tc>
          <w:tcPr>
            <w:tcW w:type="dxa" w:w="648"/>
          </w:tcPr>
          <w:p>
            <w:pPr>
              <w:spacing w:after="60" w:before="40"/>
            </w:pPr>
            <w:r>
              <w:rPr>
                <w:b/>
                <w:sz w:val="18"/>
              </w:rPr>
              <w:t>Slide</w:t>
            </w:r>
          </w:p>
        </w:tc>
        <w:tc>
          <w:tcPr>
            <w:tcW w:type="dxa" w:w="576"/>
          </w:tcPr>
          <w:p>
            <w:pPr>
              <w:spacing w:after="60" w:before="40"/>
            </w:pPr>
            <w:r>
              <w:rPr>
                <w:b/>
                <w:sz w:val="18"/>
              </w:rPr>
              <w:t>Min</w:t>
            </w:r>
          </w:p>
        </w:tc>
        <w:tc>
          <w:tcPr>
            <w:tcW w:type="dxa" w:w="8712"/>
          </w:tcPr>
          <w:p>
            <w:pPr>
              <w:spacing w:after="60" w:before="40"/>
            </w:pPr>
            <w:r>
              <w:rPr>
                <w:b/>
                <w:sz w:val="18"/>
              </w:rPr>
              <w:t>Action</w:t>
            </w:r>
          </w:p>
        </w:tc>
      </w:tr>
      <w:tr>
        <w:tc>
          <w:tcPr>
            <w:tcW w:type="dxa" w:w="648"/>
          </w:tcPr>
          <w:p>
            <w:pPr>
              <w:spacing w:after="60" w:before="40"/>
            </w:pPr>
            <w:r>
              <w:rPr>
                <w:b w:val="0"/>
                <w:sz w:val="18"/>
              </w:rPr>
              <w:t>1</w:t>
            </w:r>
          </w:p>
        </w:tc>
        <w:tc>
          <w:tcPr>
            <w:tcW w:type="dxa" w:w="576"/>
          </w:tcPr>
          <w:p>
            <w:pPr>
              <w:spacing w:after="60" w:before="40"/>
            </w:pPr>
            <w:r>
              <w:rPr>
                <w:b w:val="0"/>
                <w:sz w:val="18"/>
              </w:rPr>
              <w:t>0</w:t>
            </w:r>
          </w:p>
        </w:tc>
        <w:tc>
          <w:tcPr>
            <w:tcW w:type="dxa" w:w="8712"/>
          </w:tcPr>
          <w:p>
            <w:pPr>
              <w:spacing w:after="60" w:before="40"/>
            </w:pPr>
            <w:r>
              <w:rPr>
                <w:b w:val="0"/>
                <w:sz w:val="18"/>
              </w:rPr>
              <w:t>Open the title and read the big question before starting the timed sequence.</w:t>
            </w:r>
          </w:p>
        </w:tc>
      </w:tr>
      <w:tr>
        <w:tc>
          <w:tcPr>
            <w:tcW w:type="dxa" w:w="648"/>
          </w:tcPr>
          <w:p>
            <w:pPr>
              <w:spacing w:after="60" w:before="40"/>
            </w:pPr>
            <w:r>
              <w:rPr>
                <w:b w:val="0"/>
                <w:sz w:val="18"/>
              </w:rPr>
              <w:t>2</w:t>
            </w:r>
          </w:p>
        </w:tc>
        <w:tc>
          <w:tcPr>
            <w:tcW w:type="dxa" w:w="576"/>
          </w:tcPr>
          <w:p>
            <w:pPr>
              <w:spacing w:after="60" w:before="40"/>
            </w:pPr>
            <w:r>
              <w:rPr>
                <w:b w:val="0"/>
                <w:sz w:val="18"/>
              </w:rPr>
              <w:t>3</w:t>
            </w:r>
          </w:p>
        </w:tc>
        <w:tc>
          <w:tcPr>
            <w:tcW w:type="dxa" w:w="8712"/>
          </w:tcPr>
          <w:p>
            <w:pPr>
              <w:spacing w:after="60" w:before="40"/>
            </w:pPr>
            <w:r>
              <w:rPr>
                <w:b w:val="0"/>
                <w:sz w:val="18"/>
              </w:rPr>
              <w:t>Private check-in and support choice.</w:t>
            </w:r>
          </w:p>
        </w:tc>
      </w:tr>
      <w:tr>
        <w:tc>
          <w:tcPr>
            <w:tcW w:type="dxa" w:w="648"/>
          </w:tcPr>
          <w:p>
            <w:pPr>
              <w:spacing w:after="60" w:before="40"/>
            </w:pPr>
            <w:r>
              <w:rPr>
                <w:b w:val="0"/>
                <w:sz w:val="18"/>
              </w:rPr>
              <w:t>3</w:t>
            </w:r>
          </w:p>
        </w:tc>
        <w:tc>
          <w:tcPr>
            <w:tcW w:type="dxa" w:w="576"/>
          </w:tcPr>
          <w:p>
            <w:pPr>
              <w:spacing w:after="60" w:before="40"/>
            </w:pPr>
            <w:r>
              <w:rPr>
                <w:b w:val="0"/>
                <w:sz w:val="18"/>
              </w:rPr>
              <w:t>2</w:t>
            </w:r>
          </w:p>
        </w:tc>
        <w:tc>
          <w:tcPr>
            <w:tcW w:type="dxa" w:w="8712"/>
          </w:tcPr>
          <w:p>
            <w:pPr>
              <w:spacing w:after="60" w:before="40"/>
            </w:pPr>
            <w:r>
              <w:rPr>
                <w:b w:val="0"/>
                <w:sz w:val="18"/>
              </w:rPr>
              <w:t>Use the diagram to retrieve one useful step. Accept pointing, speech or writing. Do not infer understanding from a nod alone.</w:t>
            </w:r>
          </w:p>
        </w:tc>
      </w:tr>
      <w:tr>
        <w:tc>
          <w:tcPr>
            <w:tcW w:type="dxa" w:w="648"/>
          </w:tcPr>
          <w:p>
            <w:pPr>
              <w:spacing w:after="60" w:before="40"/>
            </w:pPr>
            <w:r>
              <w:rPr>
                <w:b w:val="0"/>
                <w:sz w:val="18"/>
              </w:rPr>
              <w:t>4</w:t>
            </w:r>
          </w:p>
        </w:tc>
        <w:tc>
          <w:tcPr>
            <w:tcW w:type="dxa" w:w="576"/>
          </w:tcPr>
          <w:p>
            <w:pPr>
              <w:spacing w:after="60" w:before="40"/>
            </w:pPr>
            <w:r>
              <w:rPr>
                <w:b w:val="0"/>
                <w:sz w:val="18"/>
              </w:rPr>
              <w:t>0</w:t>
            </w:r>
          </w:p>
        </w:tc>
        <w:tc>
          <w:tcPr>
            <w:tcW w:type="dxa" w:w="8712"/>
          </w:tcPr>
          <w:p>
            <w:pPr>
              <w:spacing w:after="60" w:before="40"/>
            </w:pPr>
            <w:r>
              <w:rPr>
                <w:b w:val="0"/>
                <w:sz w:val="18"/>
              </w:rPr>
              <w:t>Read the exact weekly objective and the three success checks. Explain the careers link in plain words.</w:t>
            </w:r>
          </w:p>
        </w:tc>
      </w:tr>
      <w:tr>
        <w:tc>
          <w:tcPr>
            <w:tcW w:type="dxa" w:w="648"/>
          </w:tcPr>
          <w:p>
            <w:pPr>
              <w:spacing w:after="60" w:before="40"/>
            </w:pPr>
            <w:r>
              <w:rPr>
                <w:b w:val="0"/>
                <w:sz w:val="18"/>
              </w:rPr>
              <w:t>5</w:t>
            </w:r>
          </w:p>
        </w:tc>
        <w:tc>
          <w:tcPr>
            <w:tcW w:type="dxa" w:w="576"/>
          </w:tcPr>
          <w:p>
            <w:pPr>
              <w:spacing w:after="60" w:before="40"/>
            </w:pPr>
            <w:r>
              <w:rPr>
                <w:b w:val="0"/>
                <w:sz w:val="18"/>
              </w:rPr>
              <w:t>4</w:t>
            </w:r>
          </w:p>
        </w:tc>
        <w:tc>
          <w:tcPr>
            <w:tcW w:type="dxa" w:w="8712"/>
          </w:tcPr>
          <w:p>
            <w:pPr>
              <w:spacing w:after="60" w:before="40"/>
            </w:pPr>
            <w:r>
              <w:rPr>
                <w:b w:val="0"/>
                <w:sz w:val="18"/>
              </w:rPr>
              <w:t>Explain the procedure.</w:t>
            </w:r>
          </w:p>
        </w:tc>
      </w:tr>
      <w:tr>
        <w:tc>
          <w:tcPr>
            <w:tcW w:type="dxa" w:w="648"/>
          </w:tcPr>
          <w:p>
            <w:pPr>
              <w:spacing w:after="60" w:before="40"/>
            </w:pPr>
            <w:r>
              <w:rPr>
                <w:b w:val="0"/>
                <w:sz w:val="18"/>
              </w:rPr>
              <w:t>6</w:t>
            </w:r>
          </w:p>
        </w:tc>
        <w:tc>
          <w:tcPr>
            <w:tcW w:type="dxa" w:w="576"/>
          </w:tcPr>
          <w:p>
            <w:pPr>
              <w:spacing w:after="60" w:before="40"/>
            </w:pPr>
            <w:r>
              <w:rPr>
                <w:b w:val="0"/>
                <w:sz w:val="18"/>
              </w:rPr>
              <w:t>3</w:t>
            </w:r>
          </w:p>
        </w:tc>
        <w:tc>
          <w:tcPr>
            <w:tcW w:type="dxa" w:w="8712"/>
          </w:tcPr>
          <w:p>
            <w:pPr>
              <w:spacing w:after="60" w:before="40"/>
            </w:pPr>
            <w:r>
              <w:rPr>
                <w:b w:val="0"/>
                <w:sz w:val="18"/>
              </w:rPr>
              <w:t>Hinge check; clarify or reteach as needed.</w:t>
            </w:r>
          </w:p>
        </w:tc>
      </w:tr>
      <w:tr>
        <w:tc>
          <w:tcPr>
            <w:tcW w:type="dxa" w:w="648"/>
          </w:tcPr>
          <w:p>
            <w:pPr>
              <w:spacing w:after="60" w:before="40"/>
            </w:pPr>
            <w:r>
              <w:rPr>
                <w:b w:val="0"/>
                <w:sz w:val="18"/>
              </w:rPr>
              <w:t>7</w:t>
            </w:r>
          </w:p>
        </w:tc>
        <w:tc>
          <w:tcPr>
            <w:tcW w:type="dxa" w:w="576"/>
          </w:tcPr>
          <w:p>
            <w:pPr>
              <w:spacing w:after="60" w:before="40"/>
            </w:pPr>
            <w:r>
              <w:rPr>
                <w:b w:val="0"/>
                <w:sz w:val="18"/>
              </w:rPr>
              <w:t>14</w:t>
            </w:r>
          </w:p>
        </w:tc>
        <w:tc>
          <w:tcPr>
            <w:tcW w:type="dxa" w:w="8712"/>
          </w:tcPr>
          <w:p>
            <w:pPr>
              <w:spacing w:after="60" w:before="40"/>
            </w:pPr>
            <w:r>
              <w:rPr>
                <w:b w:val="0"/>
                <w:sz w:val="18"/>
              </w:rPr>
              <w:t>Use the task and access routes below.</w:t>
            </w:r>
          </w:p>
        </w:tc>
      </w:tr>
      <w:tr>
        <w:tc>
          <w:tcPr>
            <w:tcW w:type="dxa" w:w="648"/>
          </w:tcPr>
          <w:p>
            <w:pPr>
              <w:spacing w:after="60" w:before="40"/>
            </w:pPr>
            <w:r>
              <w:rPr>
                <w:b w:val="0"/>
                <w:sz w:val="18"/>
              </w:rPr>
              <w:t>8</w:t>
            </w:r>
          </w:p>
        </w:tc>
        <w:tc>
          <w:tcPr>
            <w:tcW w:type="dxa" w:w="576"/>
          </w:tcPr>
          <w:p>
            <w:pPr>
              <w:spacing w:after="60" w:before="40"/>
            </w:pPr>
            <w:r>
              <w:rPr>
                <w:b w:val="0"/>
                <w:sz w:val="18"/>
              </w:rPr>
              <w:t>8</w:t>
            </w:r>
          </w:p>
        </w:tc>
        <w:tc>
          <w:tcPr>
            <w:tcW w:type="dxa" w:w="8712"/>
          </w:tcPr>
          <w:p>
            <w:pPr>
              <w:spacing w:after="60" w:before="40"/>
            </w:pPr>
            <w:r>
              <w:rPr>
                <w:b w:val="0"/>
                <w:sz w:val="18"/>
              </w:rPr>
              <w:t>Capture actual evidence and support.</w:t>
            </w:r>
          </w:p>
        </w:tc>
      </w:tr>
      <w:tr>
        <w:tc>
          <w:tcPr>
            <w:tcW w:type="dxa" w:w="648"/>
          </w:tcPr>
          <w:p>
            <w:pPr>
              <w:spacing w:after="60" w:before="40"/>
            </w:pPr>
            <w:r>
              <w:rPr>
                <w:b w:val="0"/>
                <w:sz w:val="18"/>
              </w:rPr>
              <w:t>9</w:t>
            </w:r>
          </w:p>
        </w:tc>
        <w:tc>
          <w:tcPr>
            <w:tcW w:type="dxa" w:w="576"/>
          </w:tcPr>
          <w:p>
            <w:pPr>
              <w:spacing w:after="60" w:before="40"/>
            </w:pPr>
            <w:r>
              <w:rPr>
                <w:b w:val="0"/>
                <w:sz w:val="18"/>
              </w:rPr>
              <w:t>4</w:t>
            </w:r>
          </w:p>
        </w:tc>
        <w:tc>
          <w:tcPr>
            <w:tcW w:type="dxa" w:w="8712"/>
          </w:tcPr>
          <w:p>
            <w:pPr>
              <w:spacing w:after="60" w:before="40"/>
            </w:pPr>
            <w:r>
              <w:rPr>
                <w:b w:val="0"/>
                <w:sz w:val="18"/>
              </w:rPr>
              <w:t>Check ownership, gaps and next step.</w:t>
            </w:r>
          </w:p>
        </w:tc>
      </w:tr>
      <w:tr>
        <w:tc>
          <w:tcPr>
            <w:tcW w:type="dxa" w:w="648"/>
          </w:tcPr>
          <w:p>
            <w:pPr>
              <w:spacing w:after="60" w:before="40"/>
            </w:pPr>
            <w:r>
              <w:rPr>
                <w:b w:val="0"/>
                <w:sz w:val="18"/>
              </w:rPr>
              <w:t>10</w:t>
            </w:r>
          </w:p>
        </w:tc>
        <w:tc>
          <w:tcPr>
            <w:tcW w:type="dxa" w:w="576"/>
          </w:tcPr>
          <w:p>
            <w:pPr>
              <w:spacing w:after="60" w:before="40"/>
            </w:pPr>
            <w:r>
              <w:rPr>
                <w:b w:val="0"/>
                <w:sz w:val="18"/>
              </w:rPr>
              <w:t>2</w:t>
            </w:r>
          </w:p>
        </w:tc>
        <w:tc>
          <w:tcPr>
            <w:tcW w:type="dxa" w:w="8712"/>
          </w:tcPr>
          <w:p>
            <w:pPr>
              <w:spacing w:after="60" w:before="40"/>
            </w:pPr>
            <w:r>
              <w:rPr>
                <w:b w:val="0"/>
                <w:sz w:val="18"/>
              </w:rPr>
              <w:t>Take an individual exit response in the chosen mode. Record one next teaching need; a learner may respond privately.</w:t>
            </w:r>
          </w:p>
        </w:tc>
      </w:tr>
      <w:tr>
        <w:tc>
          <w:tcPr>
            <w:tcW w:type="dxa" w:w="648"/>
          </w:tcPr>
          <w:p>
            <w:pPr>
              <w:spacing w:after="60" w:before="40"/>
            </w:pPr>
            <w:r>
              <w:rPr>
                <w:b w:val="0"/>
                <w:sz w:val="18"/>
              </w:rPr>
              <w:t>11</w:t>
            </w:r>
          </w:p>
        </w:tc>
        <w:tc>
          <w:tcPr>
            <w:tcW w:type="dxa" w:w="576"/>
          </w:tcPr>
          <w:p>
            <w:pPr>
              <w:spacing w:after="60" w:before="40"/>
            </w:pPr>
            <w:r>
              <w:rPr>
                <w:b w:val="0"/>
                <w:sz w:val="18"/>
              </w:rPr>
              <w:t>0</w:t>
            </w:r>
          </w:p>
        </w:tc>
        <w:tc>
          <w:tcPr>
            <w:tcW w:type="dxa" w:w="8712"/>
          </w:tcPr>
          <w:p>
            <w:pPr>
              <w:spacing w:after="60" w:before="40"/>
            </w:pPr>
            <w:r>
              <w:rPr>
                <w:b w:val="0"/>
                <w:sz w:val="18"/>
              </w:rPr>
              <w:t>Keep the vocabulary mat available throughout. Read a word aloud and pair it with a concrete example if needed.</w:t>
            </w:r>
          </w:p>
        </w:tc>
      </w:tr>
      <w:tr>
        <w:tc>
          <w:tcPr>
            <w:tcW w:type="dxa" w:w="648"/>
          </w:tcPr>
          <w:p>
            <w:pPr>
              <w:spacing w:after="60" w:before="40"/>
            </w:pPr>
            <w:r>
              <w:rPr>
                <w:b w:val="0"/>
                <w:sz w:val="18"/>
              </w:rPr>
              <w:t>12</w:t>
            </w:r>
          </w:p>
        </w:tc>
        <w:tc>
          <w:tcPr>
            <w:tcW w:type="dxa" w:w="576"/>
          </w:tcPr>
          <w:p>
            <w:pPr>
              <w:spacing w:after="60" w:before="40"/>
            </w:pPr>
            <w:r>
              <w:rPr>
                <w:b w:val="0"/>
                <w:sz w:val="18"/>
              </w:rPr>
              <w:t>0</w:t>
            </w:r>
          </w:p>
        </w:tc>
        <w:tc>
          <w:tcPr>
            <w:tcW w:type="dxa" w:w="8712"/>
          </w:tcPr>
          <w:p>
            <w:pPr>
              <w:spacing w:after="60" w:before="40"/>
            </w:pPr>
            <w:r>
              <w:rPr>
                <w:b w:val="0"/>
                <w:sz w:val="18"/>
              </w:rPr>
              <w:t>Hidden staff reference.</w:t>
            </w:r>
          </w:p>
        </w:tc>
      </w:tr>
    </w:tbl>
    <w:p>
      <w:pPr>
        <w:pStyle w:val="Heading1"/>
      </w:pPr>
      <w:r>
        <w:rPr>
          <w:b w:val="0"/>
        </w:rPr>
        <w:t>Hinge and reteach</w:t>
      </w:r>
    </w:p>
    <w:p>
      <w:r>
        <w:rPr>
          <w:b w:val="0"/>
        </w:rPr>
        <w:t>B. Assessment records what was actually shown. A and C misstate the evidence. This procedural check is not the assessed interview. After it, keep adult prompts separate from each learner’s independent response.</w:t>
      </w:r>
    </w:p>
    <w:p>
      <w:pPr>
        <w:pStyle w:val="Heading1"/>
      </w:pPr>
      <w:r>
        <w:rPr>
          <w:b w:val="0"/>
        </w:rPr>
        <w:t>Access and task</w:t>
      </w:r>
    </w:p>
    <w:p>
      <w:r>
        <w:rPr>
          <w:b w:val="0"/>
        </w:rPr>
        <w:t>Supported: show one item and answer one question. Independent: show both items and give an example. Aspire: explain how you would adapt an item.</w:t>
      </w:r>
    </w:p>
    <w:p>
      <w:r>
        <w:rPr>
          <w:b w:val="0"/>
        </w:rPr>
        <w:t>During the 14-minute assessment block, allow up to six minutes with each learner plus two minutes for changeover. The other learner quietly checks their own index and identifies a next step. Ask the three supplied questions without supplying content. Record actual words, work references and each prompt. If only one question is attempted, keep the remaining gaps visible. Use the eight-minute evidence block to verify the portfolio links and capture a separate feedback response.</w:t>
      </w:r>
    </w:p>
    <w:p>
      <w:r>
        <w:rPr>
          <w:b w:val="0"/>
          <w:sz w:val="19"/>
        </w:rPr>
        <w:t>Accept speech, pointing, drawing, writing, scribing or the usual communication aid. Record each learner’s response and support.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fictional role briefs and learner IDs. No real names, contacts, addresses, accounts, passwords or referee details. No calls, emails or applications are sent. Offer speech, pointing, writing, scribing or the learner’s usual communication aid. No forced pair work, public performance or personal disclosure. If a concern arises, listen privately and follow the local safeguarding route.</w:t>
      </w:r>
    </w:p>
    <w:p>
      <w:pPr>
        <w:pStyle w:val="Heading1"/>
      </w:pPr>
      <w:r>
        <w:rPr>
          <w:b w:val="0"/>
        </w:rPr>
        <w:t>Assessment and feedback</w:t>
      </w:r>
    </w:p>
    <w:p>
      <w:r>
        <w:rPr>
          <w:b w:val="0"/>
        </w:rPr>
        <w:t>This is the assessing lesson. Use the local teaching checks: CV shows relevant skills with a true example; application addresses the fictional role and is clear enough to follow; interview answer gives a relevant example or explains a sensible help request. For each, record shown independently, shown with support or not yet, alongside evidence and the precise support. These are teaching judgements, not awarding-body criteria or a qualification completion decision. Do not assess eye contact, accent, speaking speed or confidence. Preserve initial evidence before feedback.</w:t>
      </w:r>
    </w:p>
    <w:p>
      <w:r>
        <w:rPr>
          <w:b w:val="0"/>
          <w:sz w:val="19"/>
        </w:rPr>
        <w:t>Use VF · WS · I · NS+ (Yellow Box) · // (self-edit) · ? (read back) · R (responded) · E (evidence in the evidence record). R requires Voice, Audience, a specific NS+ prompt and the learner’s response in their own colour. E is recorded only after actual evidence is banked. Record support and gaps; blank forms and adult models are not completed learner evidence.</w:t>
      </w:r>
    </w:p>
    <w:p>
      <w:pPr>
        <w:pStyle w:val="Heading1"/>
      </w:pPr>
      <w:r>
        <w:rPr>
          <w:b w:val="0"/>
        </w:rPr>
        <w:t>Learner voice</w:t>
      </w:r>
    </w:p>
    <w:p>
      <w:r>
        <w:rPr>
          <w:b w:val="0"/>
        </w:rPr>
        <w:t>Space: a calm, accessible task.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Explain a choice, answer a question and respond to a specific next-step prompt. Keep the initial assessed response separate from improvement after feedback. The receiving teacher decides how authentic evidence fits their own portfolio.</w:t>
      </w:r>
    </w:p>
    <w:p>
      <w:pPr>
        <w:pStyle w:val="Heading1"/>
      </w:pPr>
      <w:r>
        <w:rPr>
          <w:b w:val="0"/>
        </w:rPr>
        <w:t>Reflection and provenance</w:t>
      </w:r>
    </w:p>
    <w:p>
      <w:r>
        <w:rPr>
          <w:b w:val="0"/>
        </w:rPr>
        <w:t>Next teaching need: ______________________________________________</w:t>
        <w:br/>
        <w:t>Learner request and change made: __________________________________</w:t>
      </w:r>
    </w:p>
    <w:p>
      <w:r>
        <w:rPr>
          <w:b w:val="0"/>
          <w:sz w:val="18"/>
        </w:rPr>
        <w:t>Source: scheme_references/LAUNCH_SOW.xlsx, revision uploaded-source-2026-08-10; cells shown above, with weekly block D102/F102. Relevant rows read directly. Calendar: owner order. Tasks, cases and diagrams are newly authored. Sources and limits: FACTS_LEDGER.md.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CAREERS-LAUNCH-A2-W07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15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51C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1C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51C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and application portfolio review</dc:title>
  <dc:subject>CAREERS-LAUNCH-A2-W07</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