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Money plans and consumer rights</w:t>
      </w:r>
    </w:p>
    <w:p>
      <w:r>
        <w:rPr>
          <w:b w:val="0"/>
        </w:rPr>
        <w:t>These are possible responses to fictional cases, not observations of a learner. Accept other defensible answers where the facts, reason and next step fit.</w:t>
      </w:r>
    </w:p>
    <w:p>
      <w:pPr>
        <w:pStyle w:val="Heading1"/>
      </w:pPr>
      <w:r>
        <w:rPr>
          <w:b w:val="0"/>
        </w:rPr>
        <w:t>Case key</w:t>
      </w:r>
    </w:p>
    <w:tbl>
      <w:tblPr>
        <w:tblStyle w:val="TableGrid"/>
        <w:tblW w:type="auto" w:w="0"/>
        <w:tblLayout w:type="fixed"/>
        <w:tblLook w:firstColumn="1" w:firstRow="1" w:lastColumn="0" w:lastRow="0" w:noHBand="0" w:noVBand="1" w:val="04A0"/>
      </w:tblPr>
      <w:tblGrid>
        <w:gridCol w:w="936"/>
        <w:gridCol w:w="4320"/>
        <w:gridCol w:w="4680"/>
      </w:tblGrid>
      <w:tr>
        <w:trPr>
          <w:tblHeader/>
          <w:cantSplit/>
        </w:trPr>
        <w:tc>
          <w:tcPr>
            <w:tcW w:type="dxa" w:w="936"/>
          </w:tcPr>
          <w:p>
            <w:pPr>
              <w:spacing w:after="80" w:before="60"/>
            </w:pPr>
            <w:r>
              <w:rPr>
                <w:b/>
                <w:sz w:val="21"/>
              </w:rPr>
              <w:t>Case</w:t>
            </w:r>
          </w:p>
        </w:tc>
        <w:tc>
          <w:tcPr>
            <w:tcW w:type="dxa" w:w="4320"/>
          </w:tcPr>
          <w:p>
            <w:pPr>
              <w:spacing w:after="80" w:before="60"/>
            </w:pPr>
            <w:r>
              <w:rPr>
                <w:b/>
                <w:sz w:val="21"/>
              </w:rPr>
              <w:t>Judgement and fact</w:t>
            </w:r>
          </w:p>
        </w:tc>
        <w:tc>
          <w:tcPr>
            <w:tcW w:type="dxa" w:w="4680"/>
          </w:tcPr>
          <w:p>
            <w:pPr>
              <w:spacing w:after="80" w:before="60"/>
            </w:pPr>
            <w:r>
              <w:rPr>
                <w:b/>
                <w:sz w:val="21"/>
              </w:rPr>
              <w:t>Possible next step</w:t>
            </w:r>
          </w:p>
        </w:tc>
      </w:tr>
      <w:tr>
        <w:trPr>
          <w:cantSplit/>
        </w:trPr>
        <w:tc>
          <w:tcPr>
            <w:tcW w:type="dxa" w:w="936"/>
          </w:tcPr>
          <w:p>
            <w:pPr>
              <w:spacing w:after="80" w:before="60"/>
            </w:pPr>
            <w:r>
              <w:rPr>
                <w:b w:val="0"/>
                <w:sz w:val="21"/>
              </w:rPr>
              <w:t>A</w:t>
            </w:r>
          </w:p>
        </w:tc>
        <w:tc>
          <w:tcPr>
            <w:tcW w:type="dxa" w:w="4320"/>
          </w:tcPr>
          <w:p>
            <w:pPr>
              <w:spacing w:after="80" w:before="60"/>
            </w:pPr>
            <w:r>
              <w:rPr>
                <w:b w:val="0"/>
                <w:sz w:val="21"/>
              </w:rPr>
              <w:t>Useful step. The total cost is £12. There is £3 left.</w:t>
            </w:r>
          </w:p>
        </w:tc>
        <w:tc>
          <w:tcPr>
            <w:tcW w:type="dxa" w:w="4680"/>
          </w:tcPr>
          <w:p>
            <w:pPr>
              <w:spacing w:after="80" w:before="60"/>
            </w:pPr>
            <w:r>
              <w:rPr>
                <w:b w:val="0"/>
                <w:sz w:val="21"/>
              </w:rPr>
              <w:t>Check that all needed costs are covered.</w:t>
            </w:r>
          </w:p>
        </w:tc>
      </w:tr>
      <w:tr>
        <w:trPr>
          <w:cantSplit/>
        </w:trPr>
        <w:tc>
          <w:tcPr>
            <w:tcW w:type="dxa" w:w="936"/>
          </w:tcPr>
          <w:p>
            <w:pPr>
              <w:spacing w:after="80" w:before="60"/>
            </w:pPr>
            <w:r>
              <w:rPr>
                <w:b w:val="0"/>
                <w:sz w:val="21"/>
              </w:rPr>
              <w:t>B</w:t>
            </w:r>
          </w:p>
        </w:tc>
        <w:tc>
          <w:tcPr>
            <w:tcW w:type="dxa" w:w="4320"/>
          </w:tcPr>
          <w:p>
            <w:pPr>
              <w:spacing w:after="80" w:before="60"/>
            </w:pPr>
            <w:r>
              <w:rPr>
                <w:b w:val="0"/>
                <w:sz w:val="21"/>
              </w:rPr>
              <w:t>Needs a change. All three cost £13, which is £3 over the amount.</w:t>
            </w:r>
          </w:p>
        </w:tc>
        <w:tc>
          <w:tcPr>
            <w:tcW w:type="dxa" w:w="4680"/>
          </w:tcPr>
          <w:p>
            <w:pPr>
              <w:spacing w:after="80" w:before="60"/>
            </w:pPr>
            <w:r>
              <w:rPr>
                <w:b w:val="0"/>
                <w:sz w:val="21"/>
              </w:rPr>
              <w:t>Wait for the game or change the plan without losing needed travel or food.</w:t>
            </w:r>
          </w:p>
        </w:tc>
      </w:tr>
      <w:tr>
        <w:trPr>
          <w:cantSplit/>
        </w:trPr>
        <w:tc>
          <w:tcPr>
            <w:tcW w:type="dxa" w:w="936"/>
          </w:tcPr>
          <w:p>
            <w:pPr>
              <w:spacing w:after="80" w:before="60"/>
            </w:pPr>
            <w:r>
              <w:rPr>
                <w:b w:val="0"/>
                <w:sz w:val="21"/>
              </w:rPr>
              <w:t>C</w:t>
            </w:r>
          </w:p>
        </w:tc>
        <w:tc>
          <w:tcPr>
            <w:tcW w:type="dxa" w:w="4320"/>
          </w:tcPr>
          <w:p>
            <w:pPr>
              <w:spacing w:after="80" w:before="60"/>
            </w:pPr>
            <w:r>
              <w:rPr>
                <w:b w:val="0"/>
                <w:sz w:val="21"/>
              </w:rPr>
              <w:t>Check first. The new bag has a fault.</w:t>
            </w:r>
          </w:p>
        </w:tc>
        <w:tc>
          <w:tcPr>
            <w:tcW w:type="dxa" w:w="4680"/>
          </w:tcPr>
          <w:p>
            <w:pPr>
              <w:spacing w:after="80" w:before="60"/>
            </w:pPr>
            <w:r>
              <w:rPr>
                <w:b w:val="0"/>
                <w:sz w:val="21"/>
              </w:rPr>
              <w:t>Tell the seller about the fault and ask for a remedy.</w:t>
            </w:r>
          </w:p>
        </w:tc>
      </w:tr>
      <w:tr>
        <w:trPr>
          <w:cantSplit/>
        </w:trPr>
        <w:tc>
          <w:tcPr>
            <w:tcW w:type="dxa" w:w="936"/>
          </w:tcPr>
          <w:p>
            <w:pPr>
              <w:spacing w:after="80" w:before="60"/>
            </w:pPr>
            <w:r>
              <w:rPr>
                <w:b w:val="0"/>
                <w:sz w:val="21"/>
              </w:rPr>
              <w:t>D</w:t>
            </w:r>
          </w:p>
        </w:tc>
        <w:tc>
          <w:tcPr>
            <w:tcW w:type="dxa" w:w="4320"/>
          </w:tcPr>
          <w:p>
            <w:pPr>
              <w:spacing w:after="80" w:before="60"/>
            </w:pPr>
            <w:r>
              <w:rPr>
                <w:b w:val="0"/>
                <w:sz w:val="21"/>
              </w:rPr>
              <w:t>Check first. This is a change of mind after buying in person.</w:t>
            </w:r>
          </w:p>
        </w:tc>
        <w:tc>
          <w:tcPr>
            <w:tcW w:type="dxa" w:w="4680"/>
          </w:tcPr>
          <w:p>
            <w:pPr>
              <w:spacing w:after="80" w:before="60"/>
            </w:pPr>
            <w:r>
              <w:rPr>
                <w:b w:val="0"/>
                <w:sz w:val="21"/>
              </w:rPr>
              <w:t>Ask about the shop’s returns policy.</w:t>
            </w:r>
          </w:p>
        </w:tc>
      </w:tr>
      <w:tr>
        <w:trPr>
          <w:cantSplit/>
        </w:trPr>
        <w:tc>
          <w:tcPr>
            <w:tcW w:type="dxa" w:w="936"/>
          </w:tcPr>
          <w:p>
            <w:pPr>
              <w:spacing w:after="80" w:before="60"/>
            </w:pPr>
            <w:r>
              <w:rPr>
                <w:b w:val="0"/>
                <w:sz w:val="21"/>
              </w:rPr>
              <w:t>E</w:t>
            </w:r>
          </w:p>
        </w:tc>
        <w:tc>
          <w:tcPr>
            <w:tcW w:type="dxa" w:w="4320"/>
          </w:tcPr>
          <w:p>
            <w:pPr>
              <w:spacing w:after="80" w:before="60"/>
            </w:pPr>
            <w:r>
              <w:rPr>
                <w:b w:val="0"/>
                <w:sz w:val="21"/>
              </w:rPr>
              <w:t>Check first. The full cost is unknown.</w:t>
            </w:r>
          </w:p>
        </w:tc>
        <w:tc>
          <w:tcPr>
            <w:tcW w:type="dxa" w:w="4680"/>
          </w:tcPr>
          <w:p>
            <w:pPr>
              <w:spacing w:after="80" w:before="60"/>
            </w:pPr>
            <w:r>
              <w:rPr>
                <w:b w:val="0"/>
                <w:sz w:val="21"/>
              </w:rPr>
              <w:t>Check the total with delivery before choosing.</w:t>
            </w:r>
          </w:p>
        </w:tc>
      </w:tr>
      <w:tr>
        <w:trPr>
          <w:cantSplit/>
        </w:trPr>
        <w:tc>
          <w:tcPr>
            <w:tcW w:type="dxa" w:w="936"/>
          </w:tcPr>
          <w:p>
            <w:pPr>
              <w:spacing w:after="80" w:before="60"/>
            </w:pPr>
            <w:r>
              <w:rPr>
                <w:b w:val="0"/>
                <w:sz w:val="21"/>
              </w:rPr>
              <w:t>F</w:t>
            </w:r>
          </w:p>
        </w:tc>
        <w:tc>
          <w:tcPr>
            <w:tcW w:type="dxa" w:w="4320"/>
          </w:tcPr>
          <w:p>
            <w:pPr>
              <w:spacing w:after="80" w:before="60"/>
            </w:pPr>
            <w:r>
              <w:rPr>
                <w:b w:val="0"/>
                <w:sz w:val="21"/>
              </w:rPr>
              <w:t>Check first. There is a fault and other proof may be available.</w:t>
            </w:r>
          </w:p>
        </w:tc>
        <w:tc>
          <w:tcPr>
            <w:tcW w:type="dxa" w:w="4680"/>
          </w:tcPr>
          <w:p>
            <w:pPr>
              <w:spacing w:after="80" w:before="60"/>
            </w:pPr>
            <w:r>
              <w:rPr>
                <w:b w:val="0"/>
                <w:sz w:val="21"/>
              </w:rPr>
              <w:t>Ask the seller what proof they can accept.</w:t>
            </w:r>
          </w:p>
        </w:tc>
      </w:tr>
    </w:tbl>
    <w:p>
      <w:pPr>
        <w:pStyle w:val="Heading1"/>
      </w:pPr>
      <w:r>
        <w:rPr>
          <w:b w:val="0"/>
        </w:rPr>
        <w:t>Teacher model and hinge</w:t>
      </w:r>
    </w:p>
    <w:p>
      <w:r>
        <w:rPr>
          <w:b w:val="0"/>
        </w:rPr>
        <w:t>Sam has £20 for one day. Bus: £6. Lunch: £5. Needs cost £11. There is £9 left. A book costs £7. It would leave £2. Headphones cost £12. That is £3 too much. Sam can wait and keep money for the bus.</w:t>
      </w:r>
    </w:p>
    <w:p>
      <w:r>
        <w:rPr>
          <w:b w:val="0"/>
        </w:rPr>
        <w:t>B. A faulty item can give the buyer rights to a remedy. Ask the seller to deal with the fault and keep proof of purchase. The remedy depends on the facts. A denies rights; C wrongly treats all returns alike. Contrast a sound item bought in a shop that the buyer simply no longer likes.</w:t>
      </w:r>
    </w:p>
    <w:p>
      <w:pPr>
        <w:pStyle w:val="Heading1"/>
      </w:pPr>
      <w:r>
        <w:rPr>
          <w:b w:val="0"/>
        </w:rPr>
        <w:t>Individual evidence key</w:t>
      </w:r>
    </w:p>
    <w:p>
      <w:r>
        <w:rPr>
          <w:b w:val="0"/>
        </w:rPr>
        <w:t>Ari: £18 in; bus £4 + lunch £6 = £10 needed; £8 left. Adding a £5 magazine gives £15 total spending and £3 left. Without the magazine, £8 remains. Either choice is acceptable with a reason. Rights evidence must distinguish a fault from a change of mind and name the seller/help route.</w:t>
      </w:r>
    </w:p>
    <w:p>
      <w:r>
        <w:br w:type="page"/>
      </w:r>
    </w:p>
    <w:p>
      <w:pPr>
        <w:pStyle w:val="Heading1"/>
      </w:pPr>
      <w:r>
        <w:rPr>
          <w:b w:val="0"/>
        </w:rPr>
        <w:t>Feedback and safe teaching</w:t>
      </w:r>
    </w:p>
    <w:p>
      <w:r>
        <w:rPr>
          <w:b w:val="0"/>
        </w:rPr>
        <w:t>Case A: £4 + £5 + £3 = £12; £15 − £12 = £3. A need depends on the person and context.</w:t>
      </w:r>
    </w:p>
    <w:p>
      <w:r>
        <w:rPr>
          <w:b w:val="0"/>
        </w:rPr>
        <w:t>Case B: Needs use £9, leaving £1. Avoid judging someone for having little money.</w:t>
      </w:r>
    </w:p>
    <w:p>
      <w:r>
        <w:rPr>
          <w:b w:val="0"/>
        </w:rPr>
        <w:t>Case C: Faulty goods may lead to a refund, repair or replacement depending on the facts. Do not teach that every return guarantees a refund.</w:t>
      </w:r>
    </w:p>
    <w:p>
      <w:r>
        <w:rPr>
          <w:b w:val="0"/>
        </w:rPr>
        <w:t>Case D: For ordinary in-shop purchases a change of mind alone does not create a legal refund right. A shop may offer a policy. Online buying has different rules.</w:t>
      </w:r>
    </w:p>
    <w:p>
      <w:r>
        <w:rPr>
          <w:b w:val="0"/>
        </w:rPr>
        <w:t>Case E: Do not open a live shopping site or enter payment details. The fictional price is not a current market quote.</w:t>
      </w:r>
    </w:p>
    <w:p>
      <w:r>
        <w:rPr>
          <w:b w:val="0"/>
        </w:rPr>
        <w:t>Case F: A receipt is useful but is not the only possible proof of purchase. Do not ask pupils to show real bank records.</w:t>
      </w:r>
    </w:p>
    <w:p>
      <w:pPr>
        <w:pStyle w:val="Heading1"/>
      </w:pPr>
      <w:r>
        <w:rPr>
          <w:b w:val="0"/>
        </w:rPr>
        <w:t>Common misunderstandings</w:t>
      </w:r>
    </w:p>
    <w:p>
      <w:r>
        <w:rPr>
          <w:b w:val="0"/>
        </w:rPr>
        <w:t>A need is contextual, not a judgement about a family. Money left is not the same as income. A budget may reveal a shortfall that needs help; it does not create extra money. Consumer rights do not mean every unwanted purchase gets a refund.</w:t>
      </w:r>
    </w:p>
    <w:p>
      <w:pPr>
        <w:pStyle w:val="Heading1"/>
      </w:pPr>
      <w:r>
        <w:rPr>
          <w:b w:val="0"/>
        </w:rPr>
        <w:t>Teaching boundary</w:t>
      </w:r>
    </w:p>
    <w:p>
      <w:r>
        <w:rPr>
          <w:b w:val="0"/>
        </w:rPr>
        <w:t>Use only the printed fictional amounts. Calculators and counters are allowed; record their use. Do not ask about pocket money, debt, family income or purchases. Do not collect receipts or account details. Teach the next step, not individual financial or legal advice.</w:t>
      </w:r>
    </w:p>
    <w:p>
      <w:pPr>
        <w:pStyle w:val="Heading1"/>
      </w:pPr>
      <w:r>
        <w:rPr>
          <w:b w:val="0"/>
        </w:rPr>
        <w:t>Response and next teaching step</w:t>
      </w:r>
    </w:p>
    <w:p>
      <w:r>
        <w:rPr>
          <w:b w:val="0"/>
        </w:rPr>
        <w:t>If the reason is vague, return to the case words or working. If a fact is missing, ask what must be checked and with whom. Re-model one new example, then retain the learner’s own revision. Use the NS+ prompt and learner response in their own colour before recording R. E means evidence actually banked in the school's evidence record, not a promise to upload.</w:t>
      </w:r>
    </w:p>
    <w:p>
      <w:pPr>
        <w:pStyle w:val="Heading1"/>
      </w:pPr>
      <w:r>
        <w:rPr>
          <w:b w:val="0"/>
        </w:rPr>
        <w:t>Private help and assessment boundary</w:t>
      </w:r>
    </w:p>
    <w:p>
      <w:r>
        <w:rPr>
          <w:b w:val="0"/>
        </w:rPr>
        <w:t>Identify the school support route. Listen without investigating in class; never promise secrecy. Use the local safeguarding procedure, separate from lesson evidence. LAUNCH-PSHE-W1-E1 is formative evidence. The December task remains in December; this pack claims no criterion or award completion. Sources: FACTS_LEDGER.md.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PSHE-LAUNCH-A2-W01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answers and response guide</dc:title>
  <dc:subject>PSHE-LAUNCH-A2-W01</dc:subject>
  <dc:creator/>
  <cp:keywords/>
  <dc:description/>
  <cp:lastModifiedBy/>
  <cp:revision>1</cp:revision>
  <dcterms:created xsi:type="dcterms:W3CDTF">2026-10-24T00:00:00Z</dcterms:created>
  <dcterms:modified xsi:type="dcterms:W3CDTF">2026-10-24T00:00:00Z</dcterms:modified>
  <cp:category/>
</cp:coreProperties>
</file>