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Drugs alcohol and healthy choices</w:t>
      </w:r>
    </w:p>
    <w:p>
      <w:r>
        <w:rPr>
          <w:b w:val="0"/>
        </w:rPr>
        <w:t>Monday 23–Friday 27 November 2026 · one 40-minute lesson</w:t>
      </w:r>
    </w:p>
    <w:p>
      <w:r>
        <w:rPr>
          <w:b w:val="0"/>
        </w:rPr>
        <w:t>Teaching date: __________________   Teacher: __________________</w:t>
      </w:r>
    </w:p>
    <w:p>
      <w:pPr>
        <w:pStyle w:val="Heading1"/>
      </w:pPr>
      <w:r>
        <w:rPr>
          <w:b w:val="0"/>
        </w:rPr>
        <w:t>Exact scheme cells</w:t>
      </w:r>
    </w:p>
    <w:p>
      <w:r>
        <w:rPr>
          <w:b w:val="0"/>
        </w:rPr>
        <w:t>LAUNCH Weekly - Autumn!C182</w:t>
        <w:br/>
        <w:t>Drugs, alcohol &amp; healthy choices.</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facts help us make safer choices?</w:t>
      </w:r>
    </w:p>
    <w:p>
      <w:r>
        <w:rPr>
          <w:b w:val="0"/>
        </w:rPr>
        <w:t>I can explain a drug or alcohol risk. I can use a fact to choose a safer action. I can practise a refusal and a help route.</w:t>
      </w:r>
    </w:p>
    <w:p>
      <w:r>
        <w:rPr>
          <w:b w:val="0"/>
        </w:rPr>
        <w:t>LAUNCH-PSHE-W4-E1: An individual fact-to-risk explanation, a safer choice for a substance-related fictional case, and a refusal/help request with an appropriate support route.</w:t>
      </w:r>
    </w:p>
    <w:p>
      <w:pPr>
        <w:pStyle w:val="Heading1"/>
      </w:pPr>
      <w:r>
        <w:rPr>
          <w:b w:val="0"/>
        </w:rPr>
        <w:t>Before pupils arrive</w:t>
      </w:r>
    </w:p>
    <w:p>
      <w:r>
        <w:rPr>
          <w:b w:val="0"/>
        </w:rPr>
        <w:t>Read the staff facts and local substance/medicines and safeguarding policies. Print cards and evidence forms. Identify a private support route and who can answer a medicine query. No substances, empty alcohol containers, real medicine packs or tasting/handling props are needed.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23–Friday 27 November 2026. One lesson per week on this line. No day or clock slot is inferred; staff enter the actual date above. Use prior vocabulary and the established private-help routine.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Appearance and a friend’s reassurance do not establish what a tablet contains or whether it is safe. Do not taste, smell or handle unknown substances. If something harmful may already have been taken, seek urgent medical help; do not wait for this classroom routine. Reteach with an unlabelled container, without a real prop.</w:t>
      </w:r>
    </w:p>
    <w:p>
      <w:pPr>
        <w:pStyle w:val="Heading1"/>
      </w:pPr>
      <w:r>
        <w:rPr>
          <w:b w:val="0"/>
        </w:rPr>
        <w:t>Access and practice</w:t>
      </w:r>
    </w:p>
    <w:p>
      <w:r>
        <w:rPr>
          <w:b w:val="0"/>
        </w:rPr>
        <w:t>Supported: work through cases A and B. Independent: explain all six choices. Aspire: challenge a claim using a fact.</w:t>
      </w:r>
    </w:p>
    <w:p>
      <w:r>
        <w:rPr>
          <w:b w:val="0"/>
        </w:rPr>
        <w:t>Teach the six model facts, then read A–F. Pupils match a fact, risk and action. Rehearse a neutral refusal or question with the adult; nobody pressures a peer. Explain the emergency response plainly without a physical demonstration.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third-person cases. Do not ask about pupil or family substance use, medication or diagnoses. No scare images, intoxication role-play, use instructions, doses, procurement or real drug handling. Do not change prescribed treatment. For a live suspected poisoning or emergency, stop the lesson routine and follow emergency procedures.</w:t>
      </w:r>
    </w:p>
    <w:p>
      <w:pPr>
        <w:pStyle w:val="Heading1"/>
      </w:pPr>
      <w:r>
        <w:rPr>
          <w:b w:val="0"/>
        </w:rPr>
        <w:t>Assessment and feedback</w:t>
      </w:r>
    </w:p>
    <w:p>
      <w:r>
        <w:rPr>
          <w:b w:val="0"/>
        </w:rPr>
        <w:t>Accept: medicines used as directed can help; unknown tablets cannot be identified by appearance; alcohol can affect judgement/balance; mixing can increase harm. Link the fact to a choice, not a moral judgement. A clear refusal, moving to support or a pharmacist query is valid. Unconsciousness/serious breathing problems need 999; suspected harmful poisoning needs urgent emergency help.</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claim using a fact, state a boundary, listen to advice and ask a clear support question.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PSHE-LAUNCH-A2-W04</dc:subject>
  <dc:creator/>
  <cp:keywords/>
  <dc:description/>
  <cp:lastModifiedBy/>
  <cp:revision>1</cp:revision>
  <dcterms:created xsi:type="dcterms:W3CDTF">2026-10-24T00:00:00Z</dcterms:created>
  <dcterms:modified xsi:type="dcterms:W3CDTF">2026-10-24T00:00:00Z</dcterms:modified>
  <cp:category/>
</cp:coreProperties>
</file>