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Teacher and cover planner</w:t>
      </w:r>
    </w:p>
    <w:p>
      <w:r>
        <w:rPr>
          <w:b/>
        </w:rPr>
        <w:t>Respect and privacy online</w:t>
      </w:r>
    </w:p>
    <w:p>
      <w:r>
        <w:rPr>
          <w:b w:val="0"/>
        </w:rPr>
        <w:t>Monday 30 November–Friday 4 December 2026 · one 40-minute lesson</w:t>
      </w:r>
    </w:p>
    <w:p>
      <w:r>
        <w:rPr>
          <w:b w:val="0"/>
        </w:rPr>
        <w:t>Teaching date: __________________   Teacher: __________________</w:t>
      </w:r>
    </w:p>
    <w:p>
      <w:pPr>
        <w:pStyle w:val="Heading1"/>
      </w:pPr>
      <w:r>
        <w:rPr>
          <w:b w:val="0"/>
        </w:rPr>
        <w:t>Exact scheme cells</w:t>
      </w:r>
    </w:p>
    <w:p>
      <w:r>
        <w:rPr>
          <w:b w:val="0"/>
        </w:rPr>
        <w:t>LAUNCH Weekly - Autumn!C183</w:t>
        <w:br/>
        <w:t>Digital citizenship &amp; online rights.</w:t>
      </w:r>
    </w:p>
    <w:p>
      <w:r>
        <w:rPr>
          <w:b w:val="0"/>
        </w:rPr>
        <w:t>LAUNCH - Autumn!D27</w:t>
        <w:br/>
        <w:t>Adult life: money, work, safety &amp; citizenship</w:t>
      </w:r>
    </w:p>
    <w:p>
      <w:r>
        <w:rPr>
          <w:b w:val="0"/>
        </w:rPr>
        <w:t>LAUNCH - Autumn!I27</w:t>
        <w:br/>
        <w:t>PSHE Association (KS4/post-16 PoS); ACT Citizenship; [AWARD] [QUAL] '[QUAL]'.</w:t>
      </w:r>
    </w:p>
    <w:p>
      <w:r>
        <w:rPr>
          <w:b w:val="0"/>
        </w:rPr>
        <w:t>LAUNCH - Autumn!J27</w:t>
        <w:br/>
        <w:t>F: scenarios &amp; tasks. S: adult life &amp; responsibilities task (Dec).</w:t>
      </w:r>
    </w:p>
    <w:p>
      <w:r>
        <w:rPr>
          <w:b w:val="0"/>
        </w:rPr>
        <w:t>The source assessment is retained. This lesson contributes evidence; it does not by itself complete an award. Public award labels are masked only.</w:t>
      </w:r>
    </w:p>
    <w:p>
      <w:pPr>
        <w:pStyle w:val="Heading1"/>
      </w:pPr>
      <w:r>
        <w:rPr>
          <w:b w:val="0"/>
        </w:rPr>
        <w:t>Purpose and success checks</w:t>
      </w:r>
    </w:p>
    <w:p>
      <w:r>
        <w:rPr>
          <w:b w:val="0"/>
        </w:rPr>
        <w:t>How can we protect privacy and respect others online?</w:t>
      </w:r>
    </w:p>
    <w:p>
      <w:r>
        <w:rPr>
          <w:b w:val="0"/>
        </w:rPr>
        <w:t>I can spot a privacy or respect concern. I can explain a safer online action. I can choose a trusted help route.</w:t>
      </w:r>
    </w:p>
    <w:p>
      <w:r>
        <w:rPr>
          <w:b w:val="0"/>
        </w:rPr>
        <w:t>LAUNCH-PSHE-W5-E1: An individual digital-citizenship case response: privacy/respect clue, safer action and reason, respectful reply and reporting/support route.</w:t>
      </w:r>
    </w:p>
    <w:p>
      <w:pPr>
        <w:pStyle w:val="Heading1"/>
      </w:pPr>
      <w:r>
        <w:rPr>
          <w:b w:val="0"/>
        </w:rPr>
        <w:t>Before pupils arrive</w:t>
      </w:r>
    </w:p>
    <w:p>
      <w:r>
        <w:rPr>
          <w:b w:val="0"/>
        </w:rPr>
        <w:t>Print fictional posts/cases and evidence sheets. Identify the local reporting route. No personal account, password, live post or pupil photo is required.</w:t>
      </w:r>
    </w:p>
    <w:p>
      <w:r>
        <w:rPr>
          <w:b w:val="0"/>
        </w:rPr>
        <w:t>Offer processing time, a quiet start and the usual communication support. Capture each learner’s own work. Read the Staff Answers before teaching.</w:t>
      </w:r>
    </w:p>
    <w:p>
      <w:pPr>
        <w:pStyle w:val="Heading1"/>
      </w:pPr>
      <w:r>
        <w:rPr>
          <w:b w:val="0"/>
        </w:rPr>
        <w:t>Calendar and continuity</w:t>
      </w:r>
    </w:p>
    <w:p>
      <w:r>
        <w:rPr>
          <w:b w:val="0"/>
        </w:rPr>
        <w:t>Monday 30 November–Friday 4 December 2026. One lesson per week on this line. No teaching day or clock slot is inferred.</w:t>
      </w:r>
    </w:p>
    <w:p>
      <w:r>
        <w:rPr>
          <w:b w:val="0"/>
        </w:rPr>
        <w:t>Staff enter the actual teaching date above. Continue the accepted prior-week evidence and support routines.</w:t>
      </w:r>
    </w:p>
    <w:p>
      <w:r>
        <w:br w:type="page"/>
      </w:r>
    </w:p>
    <w:p>
      <w:pPr>
        <w:pStyle w:val="Heading1"/>
      </w:pPr>
      <w:r>
        <w:rPr>
          <w:b w:val="0"/>
        </w:rPr>
        <w:t>Forty minute sequence</w:t>
      </w:r>
    </w:p>
    <w:tbl>
      <w:tblPr>
        <w:tblStyle w:val="TableGrid"/>
        <w:tblW w:type="auto" w:w="0"/>
        <w:tblLayout w:type="fixed"/>
        <w:tblLook w:firstColumn="1" w:firstRow="1" w:lastColumn="0" w:lastRow="0" w:noHBand="0" w:noVBand="1" w:val="04A0"/>
      </w:tblPr>
      <w:tblGrid>
        <w:gridCol w:w="936"/>
        <w:gridCol w:w="648"/>
        <w:gridCol w:w="8352"/>
      </w:tblGrid>
      <w:tr>
        <w:trPr>
          <w:tblHeader/>
          <w:cantSplit/>
        </w:trPr>
        <w:tc>
          <w:tcPr>
            <w:tcW w:type="dxa" w:w="936"/>
          </w:tcPr>
          <w:p>
            <w:pPr>
              <w:spacing w:after="80" w:before="60"/>
            </w:pPr>
            <w:r>
              <w:rPr>
                <w:b/>
                <w:sz w:val="20"/>
              </w:rPr>
              <w:t>Slide</w:t>
            </w:r>
          </w:p>
        </w:tc>
        <w:tc>
          <w:tcPr>
            <w:tcW w:type="dxa" w:w="648"/>
          </w:tcPr>
          <w:p>
            <w:pPr>
              <w:spacing w:after="80" w:before="60"/>
            </w:pPr>
            <w:r>
              <w:rPr>
                <w:b/>
                <w:sz w:val="20"/>
              </w:rPr>
              <w:t>Min</w:t>
            </w:r>
          </w:p>
        </w:tc>
        <w:tc>
          <w:tcPr>
            <w:tcW w:type="dxa" w:w="8352"/>
          </w:tcPr>
          <w:p>
            <w:pPr>
              <w:spacing w:after="80" w:before="60"/>
            </w:pPr>
            <w:r>
              <w:rPr>
                <w:b/>
                <w:sz w:val="20"/>
              </w:rPr>
              <w:t>Action</w:t>
            </w:r>
          </w:p>
        </w:tc>
      </w:tr>
      <w:tr>
        <w:trPr>
          <w:cantSplit/>
        </w:trPr>
        <w:tc>
          <w:tcPr>
            <w:tcW w:type="dxa" w:w="936"/>
          </w:tcPr>
          <w:p>
            <w:pPr>
              <w:spacing w:after="80" w:before="60"/>
            </w:pPr>
            <w:r>
              <w:rPr>
                <w:b w:val="0"/>
                <w:sz w:val="20"/>
              </w:rPr>
              <w:t>1</w:t>
            </w:r>
          </w:p>
        </w:tc>
        <w:tc>
          <w:tcPr>
            <w:tcW w:type="dxa" w:w="648"/>
          </w:tcPr>
          <w:p>
            <w:pPr>
              <w:spacing w:after="80" w:before="60"/>
            </w:pPr>
            <w:r>
              <w:rPr>
                <w:b w:val="0"/>
                <w:sz w:val="20"/>
              </w:rPr>
              <w:t>0</w:t>
            </w:r>
          </w:p>
        </w:tc>
        <w:tc>
          <w:tcPr>
            <w:tcW w:type="dxa" w:w="8352"/>
          </w:tcPr>
          <w:p>
            <w:pPr>
              <w:spacing w:after="80" w:before="60"/>
            </w:pPr>
            <w:r>
              <w:rPr>
                <w:b w:val="0"/>
                <w:sz w:val="20"/>
              </w:rPr>
              <w:t>Open title and big question before timing.</w:t>
            </w:r>
          </w:p>
        </w:tc>
      </w:tr>
      <w:tr>
        <w:trPr>
          <w:cantSplit/>
        </w:trPr>
        <w:tc>
          <w:tcPr>
            <w:tcW w:type="dxa" w:w="936"/>
          </w:tcPr>
          <w:p>
            <w:pPr>
              <w:spacing w:after="80" w:before="60"/>
            </w:pPr>
            <w:r>
              <w:rPr>
                <w:b w:val="0"/>
                <w:sz w:val="20"/>
              </w:rPr>
              <w:t>2</w:t>
            </w:r>
          </w:p>
        </w:tc>
        <w:tc>
          <w:tcPr>
            <w:tcW w:type="dxa" w:w="648"/>
          </w:tcPr>
          <w:p>
            <w:pPr>
              <w:spacing w:after="80" w:before="60"/>
            </w:pPr>
            <w:r>
              <w:rPr>
                <w:b w:val="0"/>
                <w:sz w:val="20"/>
              </w:rPr>
              <w:t>4</w:t>
            </w:r>
          </w:p>
        </w:tc>
        <w:tc>
          <w:tcPr>
            <w:tcW w:type="dxa" w:w="8352"/>
          </w:tcPr>
          <w:p>
            <w:pPr>
              <w:spacing w:after="80" w:before="60"/>
            </w:pPr>
            <w:r>
              <w:rPr>
                <w:b w:val="0"/>
                <w:sz w:val="20"/>
              </w:rPr>
              <w:t>Private check-in, quiet start and support choice.</w:t>
            </w:r>
          </w:p>
        </w:tc>
      </w:tr>
      <w:tr>
        <w:trPr>
          <w:cantSplit/>
        </w:trPr>
        <w:tc>
          <w:tcPr>
            <w:tcW w:type="dxa" w:w="936"/>
          </w:tcPr>
          <w:p>
            <w:pPr>
              <w:spacing w:after="80" w:before="60"/>
            </w:pPr>
            <w:r>
              <w:rPr>
                <w:b w:val="0"/>
                <w:sz w:val="20"/>
              </w:rPr>
              <w:t>3</w:t>
            </w:r>
          </w:p>
        </w:tc>
        <w:tc>
          <w:tcPr>
            <w:tcW w:type="dxa" w:w="648"/>
          </w:tcPr>
          <w:p>
            <w:pPr>
              <w:spacing w:after="80" w:before="60"/>
            </w:pPr>
            <w:r>
              <w:rPr>
                <w:b w:val="0"/>
                <w:sz w:val="20"/>
              </w:rPr>
              <w:t>2</w:t>
            </w:r>
          </w:p>
        </w:tc>
        <w:tc>
          <w:tcPr>
            <w:tcW w:type="dxa" w:w="8352"/>
          </w:tcPr>
          <w:p>
            <w:pPr>
              <w:spacing w:after="80" w:before="60"/>
            </w:pPr>
            <w:r>
              <w:rPr>
                <w:b w:val="0"/>
                <w:sz w:val="20"/>
              </w:rPr>
              <w:t>Read the diagram; hear one clue or question.</w:t>
            </w:r>
          </w:p>
        </w:tc>
      </w:tr>
      <w:tr>
        <w:trPr>
          <w:cantSplit/>
        </w:trPr>
        <w:tc>
          <w:tcPr>
            <w:tcW w:type="dxa" w:w="936"/>
          </w:tcPr>
          <w:p>
            <w:pPr>
              <w:spacing w:after="80" w:before="60"/>
            </w:pPr>
            <w:r>
              <w:rPr>
                <w:b w:val="0"/>
                <w:sz w:val="20"/>
              </w:rPr>
              <w:t>4</w:t>
            </w:r>
          </w:p>
        </w:tc>
        <w:tc>
          <w:tcPr>
            <w:tcW w:type="dxa" w:w="648"/>
          </w:tcPr>
          <w:p>
            <w:pPr>
              <w:spacing w:after="80" w:before="60"/>
            </w:pPr>
            <w:r>
              <w:rPr>
                <w:b w:val="0"/>
                <w:sz w:val="20"/>
              </w:rPr>
              <w:t>0</w:t>
            </w:r>
          </w:p>
        </w:tc>
        <w:tc>
          <w:tcPr>
            <w:tcW w:type="dxa" w:w="8352"/>
          </w:tcPr>
          <w:p>
            <w:pPr>
              <w:spacing w:after="80" w:before="60"/>
            </w:pPr>
            <w:r>
              <w:rPr>
                <w:b w:val="0"/>
                <w:sz w:val="20"/>
              </w:rPr>
              <w:t>Read the exact objective and success checks.</w:t>
            </w:r>
          </w:p>
        </w:tc>
      </w:tr>
      <w:tr>
        <w:trPr>
          <w:cantSplit/>
        </w:trPr>
        <w:tc>
          <w:tcPr>
            <w:tcW w:type="dxa" w:w="936"/>
          </w:tcPr>
          <w:p>
            <w:pPr>
              <w:spacing w:after="80" w:before="60"/>
            </w:pPr>
            <w:r>
              <w:rPr>
                <w:b w:val="0"/>
                <w:sz w:val="20"/>
              </w:rPr>
              <w:t>5</w:t>
            </w:r>
          </w:p>
        </w:tc>
        <w:tc>
          <w:tcPr>
            <w:tcW w:type="dxa" w:w="648"/>
          </w:tcPr>
          <w:p>
            <w:pPr>
              <w:spacing w:after="80" w:before="60"/>
            </w:pPr>
            <w:r>
              <w:rPr>
                <w:b w:val="0"/>
                <w:sz w:val="20"/>
              </w:rPr>
              <w:t>5</w:t>
            </w:r>
          </w:p>
        </w:tc>
        <w:tc>
          <w:tcPr>
            <w:tcW w:type="dxa" w:w="8352"/>
          </w:tcPr>
          <w:p>
            <w:pPr>
              <w:spacing w:after="80" w:before="60"/>
            </w:pPr>
            <w:r>
              <w:rPr>
                <w:b w:val="0"/>
                <w:sz w:val="20"/>
              </w:rPr>
              <w:t>Model the six lines; explain the reason for each.</w:t>
            </w:r>
          </w:p>
        </w:tc>
      </w:tr>
      <w:tr>
        <w:trPr>
          <w:cantSplit/>
        </w:trPr>
        <w:tc>
          <w:tcPr>
            <w:tcW w:type="dxa" w:w="936"/>
          </w:tcPr>
          <w:p>
            <w:pPr>
              <w:spacing w:after="80" w:before="60"/>
            </w:pPr>
            <w:r>
              <w:rPr>
                <w:b w:val="0"/>
                <w:sz w:val="20"/>
              </w:rPr>
              <w:t>6</w:t>
            </w:r>
          </w:p>
        </w:tc>
        <w:tc>
          <w:tcPr>
            <w:tcW w:type="dxa" w:w="648"/>
          </w:tcPr>
          <w:p>
            <w:pPr>
              <w:spacing w:after="80" w:before="60"/>
            </w:pPr>
            <w:r>
              <w:rPr>
                <w:b w:val="0"/>
                <w:sz w:val="20"/>
              </w:rPr>
              <w:t>5</w:t>
            </w:r>
          </w:p>
        </w:tc>
        <w:tc>
          <w:tcPr>
            <w:tcW w:type="dxa" w:w="8352"/>
          </w:tcPr>
          <w:p>
            <w:pPr>
              <w:spacing w:after="80" w:before="60"/>
            </w:pPr>
            <w:r>
              <w:rPr>
                <w:b w:val="0"/>
                <w:sz w:val="20"/>
              </w:rPr>
              <w:t>Ask for a hinge answer and reason; reteach if needed.</w:t>
            </w:r>
          </w:p>
        </w:tc>
      </w:tr>
      <w:tr>
        <w:trPr>
          <w:cantSplit/>
        </w:trPr>
        <w:tc>
          <w:tcPr>
            <w:tcW w:type="dxa" w:w="936"/>
          </w:tcPr>
          <w:p>
            <w:pPr>
              <w:spacing w:after="80" w:before="60"/>
            </w:pPr>
            <w:r>
              <w:rPr>
                <w:b w:val="0"/>
                <w:sz w:val="20"/>
              </w:rPr>
              <w:t>7</w:t>
            </w:r>
          </w:p>
        </w:tc>
        <w:tc>
          <w:tcPr>
            <w:tcW w:type="dxa" w:w="648"/>
          </w:tcPr>
          <w:p>
            <w:pPr>
              <w:spacing w:after="80" w:before="60"/>
            </w:pPr>
            <w:r>
              <w:rPr>
                <w:b w:val="0"/>
                <w:sz w:val="20"/>
              </w:rPr>
              <w:t>12</w:t>
            </w:r>
          </w:p>
        </w:tc>
        <w:tc>
          <w:tcPr>
            <w:tcW w:type="dxa" w:w="8352"/>
          </w:tcPr>
          <w:p>
            <w:pPr>
              <w:spacing w:after="80" w:before="60"/>
            </w:pPr>
            <w:r>
              <w:rPr>
                <w:b w:val="0"/>
                <w:sz w:val="20"/>
              </w:rPr>
              <w:t>Use the six cards and the Supported/Independent/Aspire routes.</w:t>
            </w:r>
          </w:p>
        </w:tc>
      </w:tr>
      <w:tr>
        <w:trPr>
          <w:cantSplit/>
        </w:trPr>
        <w:tc>
          <w:tcPr>
            <w:tcW w:type="dxa" w:w="936"/>
          </w:tcPr>
          <w:p>
            <w:pPr>
              <w:spacing w:after="80" w:before="60"/>
            </w:pPr>
            <w:r>
              <w:rPr>
                <w:b w:val="0"/>
                <w:sz w:val="20"/>
              </w:rPr>
              <w:t>8</w:t>
            </w:r>
          </w:p>
        </w:tc>
        <w:tc>
          <w:tcPr>
            <w:tcW w:type="dxa" w:w="648"/>
          </w:tcPr>
          <w:p>
            <w:pPr>
              <w:spacing w:after="80" w:before="60"/>
            </w:pPr>
            <w:r>
              <w:rPr>
                <w:b w:val="0"/>
                <w:sz w:val="20"/>
              </w:rPr>
              <w:t>6</w:t>
            </w:r>
          </w:p>
        </w:tc>
        <w:tc>
          <w:tcPr>
            <w:tcW w:type="dxa" w:w="8352"/>
          </w:tcPr>
          <w:p>
            <w:pPr>
              <w:spacing w:after="80" w:before="60"/>
            </w:pPr>
            <w:r>
              <w:rPr>
                <w:b w:val="0"/>
                <w:sz w:val="20"/>
              </w:rPr>
              <w:t>Complete the individual two-page evidence record.</w:t>
            </w:r>
          </w:p>
        </w:tc>
      </w:tr>
      <w:tr>
        <w:trPr>
          <w:cantSplit/>
        </w:trPr>
        <w:tc>
          <w:tcPr>
            <w:tcW w:type="dxa" w:w="936"/>
          </w:tcPr>
          <w:p>
            <w:pPr>
              <w:spacing w:after="80" w:before="60"/>
            </w:pPr>
            <w:r>
              <w:rPr>
                <w:b w:val="0"/>
                <w:sz w:val="20"/>
              </w:rPr>
              <w:t>9</w:t>
            </w:r>
          </w:p>
        </w:tc>
        <w:tc>
          <w:tcPr>
            <w:tcW w:type="dxa" w:w="648"/>
          </w:tcPr>
          <w:p>
            <w:pPr>
              <w:spacing w:after="80" w:before="60"/>
            </w:pPr>
            <w:r>
              <w:rPr>
                <w:b w:val="0"/>
                <w:sz w:val="20"/>
              </w:rPr>
              <w:t>4</w:t>
            </w:r>
          </w:p>
        </w:tc>
        <w:tc>
          <w:tcPr>
            <w:tcW w:type="dxa" w:w="8352"/>
          </w:tcPr>
          <w:p>
            <w:pPr>
              <w:spacing w:after="80" w:before="60"/>
            </w:pPr>
            <w:r>
              <w:rPr>
                <w:b w:val="0"/>
                <w:sz w:val="20"/>
              </w:rPr>
              <w:t>Check ownership, support, response and next step.</w:t>
            </w:r>
          </w:p>
        </w:tc>
      </w:tr>
      <w:tr>
        <w:trPr>
          <w:cantSplit/>
        </w:trPr>
        <w:tc>
          <w:tcPr>
            <w:tcW w:type="dxa" w:w="936"/>
          </w:tcPr>
          <w:p>
            <w:pPr>
              <w:spacing w:after="80" w:before="60"/>
            </w:pPr>
            <w:r>
              <w:rPr>
                <w:b w:val="0"/>
                <w:sz w:val="20"/>
              </w:rPr>
              <w:t>10</w:t>
            </w:r>
          </w:p>
        </w:tc>
        <w:tc>
          <w:tcPr>
            <w:tcW w:type="dxa" w:w="648"/>
          </w:tcPr>
          <w:p>
            <w:pPr>
              <w:spacing w:after="80" w:before="60"/>
            </w:pPr>
            <w:r>
              <w:rPr>
                <w:b w:val="0"/>
                <w:sz w:val="20"/>
              </w:rPr>
              <w:t>2</w:t>
            </w:r>
          </w:p>
        </w:tc>
        <w:tc>
          <w:tcPr>
            <w:tcW w:type="dxa" w:w="8352"/>
          </w:tcPr>
          <w:p>
            <w:pPr>
              <w:spacing w:after="80" w:before="60"/>
            </w:pPr>
            <w:r>
              <w:rPr>
                <w:b w:val="0"/>
                <w:sz w:val="20"/>
              </w:rPr>
              <w:t>Take a short quiet exit response.</w:t>
            </w:r>
          </w:p>
        </w:tc>
      </w:tr>
      <w:tr>
        <w:trPr>
          <w:cantSplit/>
        </w:trPr>
        <w:tc>
          <w:tcPr>
            <w:tcW w:type="dxa" w:w="936"/>
          </w:tcPr>
          <w:p>
            <w:pPr>
              <w:spacing w:after="80" w:before="60"/>
            </w:pPr>
            <w:r>
              <w:rPr>
                <w:b w:val="0"/>
                <w:sz w:val="20"/>
              </w:rPr>
              <w:t>11</w:t>
            </w:r>
          </w:p>
        </w:tc>
        <w:tc>
          <w:tcPr>
            <w:tcW w:type="dxa" w:w="648"/>
          </w:tcPr>
          <w:p>
            <w:pPr>
              <w:spacing w:after="80" w:before="60"/>
            </w:pPr>
            <w:r>
              <w:rPr>
                <w:b w:val="0"/>
                <w:sz w:val="20"/>
              </w:rPr>
              <w:t>0</w:t>
            </w:r>
          </w:p>
        </w:tc>
        <w:tc>
          <w:tcPr>
            <w:tcW w:type="dxa" w:w="8352"/>
          </w:tcPr>
          <w:p>
            <w:pPr>
              <w:spacing w:after="80" w:before="60"/>
            </w:pPr>
            <w:r>
              <w:rPr>
                <w:b w:val="0"/>
                <w:sz w:val="20"/>
              </w:rPr>
              <w:t>Use the vocabulary mat throughout.</w:t>
            </w:r>
          </w:p>
        </w:tc>
      </w:tr>
      <w:tr>
        <w:trPr>
          <w:cantSplit/>
        </w:trPr>
        <w:tc>
          <w:tcPr>
            <w:tcW w:type="dxa" w:w="936"/>
          </w:tcPr>
          <w:p>
            <w:pPr>
              <w:spacing w:after="80" w:before="60"/>
            </w:pPr>
            <w:r>
              <w:rPr>
                <w:b w:val="0"/>
                <w:sz w:val="20"/>
              </w:rPr>
              <w:t>12</w:t>
            </w:r>
          </w:p>
        </w:tc>
        <w:tc>
          <w:tcPr>
            <w:tcW w:type="dxa" w:w="648"/>
          </w:tcPr>
          <w:p>
            <w:pPr>
              <w:spacing w:after="80" w:before="60"/>
            </w:pPr>
            <w:r>
              <w:rPr>
                <w:b w:val="0"/>
                <w:sz w:val="20"/>
              </w:rPr>
              <w:t>0</w:t>
            </w:r>
          </w:p>
        </w:tc>
        <w:tc>
          <w:tcPr>
            <w:tcW w:type="dxa" w:w="8352"/>
          </w:tcPr>
          <w:p>
            <w:pPr>
              <w:spacing w:after="80" w:before="60"/>
            </w:pPr>
            <w:r>
              <w:rPr>
                <w:b w:val="0"/>
                <w:sz w:val="20"/>
              </w:rPr>
              <w:t>Hidden reference for adults.</w:t>
            </w:r>
          </w:p>
        </w:tc>
      </w:tr>
    </w:tbl>
    <w:p>
      <w:pPr>
        <w:pStyle w:val="Heading1"/>
      </w:pPr>
      <w:r>
        <w:rPr>
          <w:b w:val="0"/>
        </w:rPr>
        <w:t>Hinge and reteach</w:t>
      </w:r>
    </w:p>
    <w:p>
      <w:r>
        <w:rPr>
          <w:b w:val="0"/>
        </w:rPr>
        <w:t>C. Consent from other people does not override this person’s answer. A smaller group can still copy or share a post. Reteach with an ordinary schoolwork photo containing an unwanted name label. This is respectful privacy practice, not a claim that consent alone makes every image lawful to share.</w:t>
      </w:r>
    </w:p>
    <w:p>
      <w:pPr>
        <w:pStyle w:val="Heading1"/>
      </w:pPr>
      <w:r>
        <w:rPr>
          <w:b w:val="0"/>
        </w:rPr>
        <w:t>Access and practice</w:t>
      </w:r>
    </w:p>
    <w:p>
      <w:r>
        <w:rPr>
          <w:b w:val="0"/>
        </w:rPr>
        <w:t>Supported: work through A and B with staff. Independent: give a fact, action and reason. Aspire: explain how a small group can still share.</w:t>
      </w:r>
    </w:p>
    <w:p>
      <w:r>
        <w:rPr>
          <w:b w:val="0"/>
        </w:rPr>
        <w:t>Read A–F and model A. Pupils choose a case, identify the privacy/respect clue, write a safer step and a boundary/help message. Read aloud or scribe exact words without supplying the reason.</w:t>
      </w:r>
    </w:p>
    <w:p>
      <w:r>
        <w:rPr>
          <w:b w:val="0"/>
        </w:rPr>
        <w:t>Begin evidence during practice and finish during capture. Accept speech, pointing, drawing, writing or usual AAC. Scribe exact words without supplying the assessed reason. No forced pair work or public performance.</w:t>
      </w:r>
    </w:p>
    <w:p>
      <w:r>
        <w:br w:type="page"/>
      </w:r>
    </w:p>
    <w:p>
      <w:pPr>
        <w:pStyle w:val="Heading1"/>
      </w:pPr>
      <w:r>
        <w:rPr>
          <w:b w:val="0"/>
        </w:rPr>
        <w:t>Safe teaching evidence and learner voice</w:t>
      </w:r>
    </w:p>
    <w:p>
      <w:pPr>
        <w:pStyle w:val="Heading1"/>
      </w:pPr>
      <w:r>
        <w:rPr>
          <w:b w:val="0"/>
        </w:rPr>
        <w:t>Boundaries</w:t>
      </w:r>
    </w:p>
    <w:p>
      <w:r>
        <w:rPr>
          <w:b w:val="0"/>
        </w:rPr>
        <w:t>Use paper fiction and a pass. Do not ask for private online experiences, credentials or screenshots. Do not forward harmful content. Follow safeguarding procedures for actual concerns. Avoid individual legal advice or promises that deleting a post removes every copy.</w:t>
      </w:r>
    </w:p>
    <w:p>
      <w:pPr>
        <w:pStyle w:val="Heading1"/>
      </w:pPr>
      <w:r>
        <w:rPr>
          <w:b w:val="0"/>
        </w:rPr>
        <w:t>Assessment and feedback</w:t>
      </w:r>
    </w:p>
    <w:p>
      <w:r>
        <w:rPr>
          <w:b w:val="0"/>
        </w:rPr>
        <w:t>Credit a specific clue and a safer action: A respect no; B protect location details; C do not amplify harm and seek staff support; D check a reliable source; E log out; F seek trusted-adult help. The response must explain why. Do not infer safety from popularity, friendliness or a private-group label.</w:t>
      </w:r>
    </w:p>
    <w:p>
      <w:r>
        <w:rPr>
          <w:b w:val="0"/>
        </w:rPr>
        <w:t>Retain actual work, response mode and support. Use VF · WS · I · NS+ (Yellow Box) · // (self-edit) · ? (read back) · R (responded) · E (evidence in the school's evidence record). R requires Voice, Audience, an NS+ prompt and the learner’s response in their own colour. Record E only after evidence is banked. Blank forms and adult models are not completed learner evidence.</w:t>
      </w:r>
    </w:p>
    <w:p>
      <w:pPr>
        <w:pStyle w:val="Heading1"/>
      </w:pPr>
      <w:r>
        <w:rPr>
          <w:b w:val="0"/>
        </w:rPr>
        <w:t>Lundy moments</w:t>
      </w:r>
    </w:p>
    <w:p>
      <w:r>
        <w:rPr>
          <w:b w:val="0"/>
        </w:rPr>
        <w:t>Space: calm, accessible participation. Voice: a choice, reason or help request. Audience: the adult listens or reads and replies. Influence: record the support or next-step change made in response.</w:t>
      </w:r>
    </w:p>
    <w:p>
      <w:pPr>
        <w:pStyle w:val="Heading1"/>
      </w:pPr>
      <w:r>
        <w:rPr>
          <w:b w:val="0"/>
        </w:rPr>
        <w:t>Speaking listening and writing</w:t>
      </w:r>
    </w:p>
    <w:p>
      <w:r>
        <w:rPr>
          <w:b w:val="0"/>
        </w:rPr>
        <w:t>Explain a privacy concern, state a respectful boundary and ask for help. The receiving teacher maps authentic responses to their own portfolio; no communication criteria are assigned here.</w:t>
      </w:r>
    </w:p>
    <w:p>
      <w:pPr>
        <w:pStyle w:val="Heading1"/>
      </w:pPr>
      <w:r>
        <w:rPr>
          <w:b w:val="0"/>
        </w:rPr>
        <w:t>Reflection and provenance</w:t>
      </w:r>
    </w:p>
    <w:p>
      <w:r>
        <w:rPr>
          <w:b w:val="0"/>
        </w:rPr>
        <w:t>Next teaching need: __________________________________________________</w:t>
        <w:br/>
        <w:t>Learner request and change made: _______________________________________</w:t>
      </w:r>
    </w:p>
    <w:p>
      <w:r>
        <w:rPr>
          <w:b w:val="0"/>
        </w:rPr>
        <w:t>Sources: lane1/main scheme index, revision 840cc945; workbook revision 9ed44bdf, cells above, checked against main by blob/hash. Calendar: owner order. Local examples and diagrams are authored. Source URLs and limits: FACTS_LEDGER.md. No registration or award criteria are inferred.</w:t>
      </w:r>
    </w:p>
    <w:sectPr w:rsidR="00FC693F" w:rsidRPr="0006063C" w:rsidSect="00034616">
      <w:headerReference w:type="default" r:id="rId9"/>
      <w:footerReference w:type="default" r:id="rId10"/>
      <w:pgSz w:w="11909" w:h="16834"/>
      <w:pgMar w:top="792" w:right="893" w:bottom="792" w:left="893" w:header="346"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4"/>
      </w:rPr>
      <w:t>Made by Matt · © Matt Roper · CC BY-NC-SA 4.0: free for classroom use, share and adapt with credit, no resale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8"/>
      </w:rPr>
      <w:t>PSHE-LAUNCH-A2-W05 · Public edition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2" w:lineRule="auto"/>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20" w:line="252" w:lineRule="auto"/>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2" w:lineRule="auto"/>
      <w:contextualSpacing/>
    </w:pPr>
    <w:rPr>
      <w:rFonts w:asciiTheme="majorHAnsi" w:eastAsiaTheme="majorEastAsia" w:hAnsiTheme="majorHAnsi" w:cstheme="majorBidi" w:ascii="Arial" w:hAnsi="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2" w:lineRule="auto"/>
    </w:pPr>
    <w:rPr>
      <w:rFonts w:ascii="Arial" w:hAnsi="Arial"/>
      <w:color w:val="000000"/>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Teacher and cover planner</dc:title>
  <dc:subject>PSHE-LAUNCH-A2-W05</dc:subject>
  <dc:creator/>
  <cp:keywords/>
  <dc:description/>
  <cp:lastModifiedBy/>
  <cp:revision>1</cp:revision>
  <dcterms:created xsi:type="dcterms:W3CDTF">2026-10-24T00:00:00Z</dcterms:created>
  <dcterms:modified xsi:type="dcterms:W3CDTF">2026-10-24T00:00:00Z</dcterms:modified>
  <cp:category/>
</cp:coreProperties>
</file>