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Staff answers and response guide</w:t>
      </w:r>
    </w:p>
    <w:p>
      <w:r>
        <w:rPr>
          <w:b w:val="0"/>
        </w:rPr>
        <w:t>Belonging and respect</w:t>
      </w:r>
    </w:p>
    <w:p>
      <w:r>
        <w:rPr>
          <w:b w:val="0"/>
        </w:rPr>
        <w:t>These are possible responses and task guides, not learner observations. Accept a defensible answer based on the facts or actual work. Record each learner’s reasoning and support.</w:t>
      </w:r>
    </w:p>
    <w:p>
      <w:pPr>
        <w:pStyle w:val="Heading1"/>
      </w:pPr>
      <w:r>
        <w:rPr>
          <w:b w:val="0"/>
        </w:rPr>
        <w:t>Card key</w:t>
      </w:r>
    </w:p>
    <w:tbl>
      <w:tblPr>
        <w:tblStyle w:val="TableGrid"/>
        <w:tblW w:type="auto" w:w="0"/>
        <w:tblLayout w:type="fixed"/>
        <w:tblLook w:firstColumn="1" w:firstRow="1" w:lastColumn="0" w:lastRow="0" w:noHBand="0" w:noVBand="1" w:val="04A0"/>
      </w:tblPr>
      <w:tblGrid>
        <w:gridCol w:w="936"/>
        <w:gridCol w:w="4320"/>
        <w:gridCol w:w="4680"/>
      </w:tblGrid>
      <w:tr>
        <w:trPr>
          <w:tblHeader/>
          <w:cantSplit/>
        </w:trPr>
        <w:tc>
          <w:tcPr>
            <w:tcW w:type="dxa" w:w="936"/>
          </w:tcPr>
          <w:p>
            <w:pPr>
              <w:spacing w:after="80" w:before="60"/>
            </w:pPr>
            <w:r>
              <w:rPr>
                <w:b/>
                <w:sz w:val="21"/>
              </w:rPr>
              <w:t>Card</w:t>
            </w:r>
          </w:p>
        </w:tc>
        <w:tc>
          <w:tcPr>
            <w:tcW w:type="dxa" w:w="4320"/>
          </w:tcPr>
          <w:p>
            <w:pPr>
              <w:spacing w:after="80" w:before="60"/>
            </w:pPr>
            <w:r>
              <w:rPr>
                <w:b/>
                <w:sz w:val="21"/>
              </w:rPr>
              <w:t>Judgement or step</w:t>
            </w:r>
          </w:p>
        </w:tc>
        <w:tc>
          <w:tcPr>
            <w:tcW w:type="dxa" w:w="4680"/>
          </w:tcPr>
          <w:p>
            <w:pPr>
              <w:spacing w:after="80" w:before="60"/>
            </w:pPr>
            <w:r>
              <w:rPr>
                <w:b/>
                <w:sz w:val="21"/>
              </w:rPr>
              <w:t>Possible action</w:t>
            </w:r>
          </w:p>
        </w:tc>
      </w:tr>
      <w:tr>
        <w:trPr>
          <w:cantSplit/>
        </w:trPr>
        <w:tc>
          <w:tcPr>
            <w:tcW w:type="dxa" w:w="936"/>
          </w:tcPr>
          <w:p>
            <w:pPr>
              <w:spacing w:after="80" w:before="60"/>
            </w:pPr>
            <w:r>
              <w:rPr>
                <w:b w:val="0"/>
                <w:sz w:val="21"/>
              </w:rPr>
              <w:t>A</w:t>
            </w:r>
          </w:p>
        </w:tc>
        <w:tc>
          <w:tcPr>
            <w:tcW w:type="dxa" w:w="4320"/>
          </w:tcPr>
          <w:p>
            <w:pPr>
              <w:spacing w:after="80" w:before="60"/>
            </w:pPr>
            <w:r>
              <w:rPr>
                <w:b w:val="0"/>
                <w:sz w:val="21"/>
              </w:rPr>
              <w:t>Voice barrier. Only one response mode is accepted.</w:t>
            </w:r>
          </w:p>
        </w:tc>
        <w:tc>
          <w:tcPr>
            <w:tcW w:type="dxa" w:w="4680"/>
          </w:tcPr>
          <w:p>
            <w:pPr>
              <w:spacing w:after="80" w:before="60"/>
            </w:pPr>
            <w:r>
              <w:rPr>
                <w:b w:val="0"/>
                <w:sz w:val="21"/>
              </w:rPr>
              <w:t>Offer notes, pointing or another agreed mode.</w:t>
            </w:r>
          </w:p>
        </w:tc>
      </w:tr>
      <w:tr>
        <w:trPr>
          <w:cantSplit/>
        </w:trPr>
        <w:tc>
          <w:tcPr>
            <w:tcW w:type="dxa" w:w="936"/>
          </w:tcPr>
          <w:p>
            <w:pPr>
              <w:spacing w:after="80" w:before="60"/>
            </w:pPr>
            <w:r>
              <w:rPr>
                <w:b w:val="0"/>
                <w:sz w:val="21"/>
              </w:rPr>
              <w:t>B</w:t>
            </w:r>
          </w:p>
        </w:tc>
        <w:tc>
          <w:tcPr>
            <w:tcW w:type="dxa" w:w="4320"/>
          </w:tcPr>
          <w:p>
            <w:pPr>
              <w:spacing w:after="80" w:before="60"/>
            </w:pPr>
            <w:r>
              <w:rPr>
                <w:b w:val="0"/>
                <w:sz w:val="21"/>
              </w:rPr>
              <w:t>Access barrier. The notice is not usable for Lee.</w:t>
            </w:r>
          </w:p>
        </w:tc>
        <w:tc>
          <w:tcPr>
            <w:tcW w:type="dxa" w:w="4680"/>
          </w:tcPr>
          <w:p>
            <w:pPr>
              <w:spacing w:after="80" w:before="60"/>
            </w:pPr>
            <w:r>
              <w:rPr>
                <w:b w:val="0"/>
                <w:sz w:val="21"/>
              </w:rPr>
              <w:t>Ask Lee what helps and provide a clear version.</w:t>
            </w:r>
          </w:p>
        </w:tc>
      </w:tr>
      <w:tr>
        <w:trPr>
          <w:cantSplit/>
        </w:trPr>
        <w:tc>
          <w:tcPr>
            <w:tcW w:type="dxa" w:w="936"/>
          </w:tcPr>
          <w:p>
            <w:pPr>
              <w:spacing w:after="80" w:before="60"/>
            </w:pPr>
            <w:r>
              <w:rPr>
                <w:b w:val="0"/>
                <w:sz w:val="21"/>
              </w:rPr>
              <w:t>C</w:t>
            </w:r>
          </w:p>
        </w:tc>
        <w:tc>
          <w:tcPr>
            <w:tcW w:type="dxa" w:w="4320"/>
          </w:tcPr>
          <w:p>
            <w:pPr>
              <w:spacing w:after="80" w:before="60"/>
            </w:pPr>
            <w:r>
              <w:rPr>
                <w:b w:val="0"/>
                <w:sz w:val="21"/>
              </w:rPr>
              <w:t>Disrespect. A person is being mocked.</w:t>
            </w:r>
          </w:p>
        </w:tc>
        <w:tc>
          <w:tcPr>
            <w:tcW w:type="dxa" w:w="4680"/>
          </w:tcPr>
          <w:p>
            <w:pPr>
              <w:spacing w:after="80" w:before="60"/>
            </w:pPr>
            <w:r>
              <w:rPr>
                <w:b w:val="0"/>
                <w:sz w:val="21"/>
              </w:rPr>
              <w:t>Stop the mockery and seek staff support for respectful discussion.</w:t>
            </w:r>
          </w:p>
        </w:tc>
      </w:tr>
      <w:tr>
        <w:trPr>
          <w:cantSplit/>
        </w:trPr>
        <w:tc>
          <w:tcPr>
            <w:tcW w:type="dxa" w:w="936"/>
          </w:tcPr>
          <w:p>
            <w:pPr>
              <w:spacing w:after="80" w:before="60"/>
            </w:pPr>
            <w:r>
              <w:rPr>
                <w:b w:val="0"/>
                <w:sz w:val="21"/>
              </w:rPr>
              <w:t>D</w:t>
            </w:r>
          </w:p>
        </w:tc>
        <w:tc>
          <w:tcPr>
            <w:tcW w:type="dxa" w:w="4320"/>
          </w:tcPr>
          <w:p>
            <w:pPr>
              <w:spacing w:after="80" w:before="60"/>
            </w:pPr>
            <w:r>
              <w:rPr>
                <w:b w:val="0"/>
                <w:sz w:val="21"/>
              </w:rPr>
              <w:t>Different views. The needs differ.</w:t>
            </w:r>
          </w:p>
        </w:tc>
        <w:tc>
          <w:tcPr>
            <w:tcW w:type="dxa" w:w="4680"/>
          </w:tcPr>
          <w:p>
            <w:pPr>
              <w:spacing w:after="80" w:before="60"/>
            </w:pPr>
            <w:r>
              <w:rPr>
                <w:b w:val="0"/>
                <w:sz w:val="21"/>
              </w:rPr>
              <w:t>Listen to both and agree a workable option or turn.</w:t>
            </w:r>
          </w:p>
        </w:tc>
      </w:tr>
      <w:tr>
        <w:trPr>
          <w:cantSplit/>
        </w:trPr>
        <w:tc>
          <w:tcPr>
            <w:tcW w:type="dxa" w:w="936"/>
          </w:tcPr>
          <w:p>
            <w:pPr>
              <w:spacing w:after="80" w:before="60"/>
            </w:pPr>
            <w:r>
              <w:rPr>
                <w:b w:val="0"/>
                <w:sz w:val="21"/>
              </w:rPr>
              <w:t>E</w:t>
            </w:r>
          </w:p>
        </w:tc>
        <w:tc>
          <w:tcPr>
            <w:tcW w:type="dxa" w:w="4320"/>
          </w:tcPr>
          <w:p>
            <w:pPr>
              <w:spacing w:after="80" w:before="60"/>
            </w:pPr>
            <w:r>
              <w:rPr>
                <w:b w:val="0"/>
                <w:sz w:val="21"/>
              </w:rPr>
              <w:t>Participation barrier. The equipment blocks access.</w:t>
            </w:r>
          </w:p>
        </w:tc>
        <w:tc>
          <w:tcPr>
            <w:tcW w:type="dxa" w:w="4680"/>
          </w:tcPr>
          <w:p>
            <w:pPr>
              <w:spacing w:after="80" w:before="60"/>
            </w:pPr>
            <w:r>
              <w:rPr>
                <w:b w:val="0"/>
                <w:sz w:val="21"/>
              </w:rPr>
              <w:t>Ask them and adapt the equipment, format or role.</w:t>
            </w:r>
          </w:p>
        </w:tc>
      </w:tr>
      <w:tr>
        <w:trPr>
          <w:cantSplit/>
        </w:trPr>
        <w:tc>
          <w:tcPr>
            <w:tcW w:type="dxa" w:w="936"/>
          </w:tcPr>
          <w:p>
            <w:pPr>
              <w:spacing w:after="80" w:before="60"/>
            </w:pPr>
            <w:r>
              <w:rPr>
                <w:b w:val="0"/>
                <w:sz w:val="21"/>
              </w:rPr>
              <w:t>F</w:t>
            </w:r>
          </w:p>
        </w:tc>
        <w:tc>
          <w:tcPr>
            <w:tcW w:type="dxa" w:w="4320"/>
          </w:tcPr>
          <w:p>
            <w:pPr>
              <w:spacing w:after="80" w:before="60"/>
            </w:pPr>
            <w:r>
              <w:rPr>
                <w:b w:val="0"/>
                <w:sz w:val="21"/>
              </w:rPr>
              <w:t>False claim. Rights are treated as a reward.</w:t>
            </w:r>
          </w:p>
        </w:tc>
        <w:tc>
          <w:tcPr>
            <w:tcW w:type="dxa" w:w="4680"/>
          </w:tcPr>
          <w:p>
            <w:pPr>
              <w:spacing w:after="80" w:before="60"/>
            </w:pPr>
            <w:r>
              <w:rPr>
                <w:b w:val="0"/>
                <w:sz w:val="21"/>
              </w:rPr>
              <w:t>Explain that rights belong to everyone.</w:t>
            </w:r>
          </w:p>
        </w:tc>
      </w:tr>
    </w:tbl>
    <w:p>
      <w:pPr>
        <w:pStyle w:val="Heading1"/>
      </w:pPr>
      <w:r>
        <w:rPr>
          <w:b w:val="0"/>
        </w:rPr>
        <w:t>Model and hinge</w:t>
      </w:r>
    </w:p>
    <w:p>
      <w:r>
        <w:rPr>
          <w:b w:val="0"/>
        </w:rPr>
        <w:t>A club is planning a shared activity. Jo wants to give an idea in writing. The organiser accepts notes as well as speech. The group listens without mocking people. They explain what can change and why. Jo checks whether the new option helps.</w:t>
      </w:r>
    </w:p>
    <w:p>
      <w:r>
        <w:rPr>
          <w:b w:val="0"/>
        </w:rPr>
        <w:t>B. Human rights belong to everyone; they are not rewards for good behaviour. A setting can address harmful behaviour fairly while treating the person with dignity and respecting others’ rights. Reteach with a calm response to an unsafe action, without denying the person a voice or basic care.</w:t>
      </w:r>
    </w:p>
    <w:p>
      <w:pPr>
        <w:pStyle w:val="Heading1"/>
      </w:pPr>
      <w:r>
        <w:rPr>
          <w:b w:val="0"/>
        </w:rPr>
        <w:t>Individual evidence key</w:t>
      </w:r>
    </w:p>
    <w:p>
      <w:r>
        <w:rPr>
          <w:b w:val="0"/>
        </w:rPr>
        <w:t>Credit a concrete barrier and a feasible change that listens to the affected person. Accept plain-word links to dignity, privacy, education or participation without article/criterion numbers. Record the actual classroom audience and response; a proposal is not a claim that a real school policy changed.</w:t>
      </w:r>
    </w:p>
    <w:p>
      <w:r>
        <w:br w:type="page"/>
      </w:r>
    </w:p>
    <w:p>
      <w:pPr>
        <w:pStyle w:val="Heading1"/>
      </w:pPr>
      <w:r>
        <w:rPr>
          <w:b w:val="0"/>
        </w:rPr>
        <w:t>Feedback boundaries and next teaching</w:t>
      </w:r>
    </w:p>
    <w:p>
      <w:r>
        <w:rPr>
          <w:b w:val="0"/>
        </w:rPr>
        <w:t>Card A: Record which option the learner actually chooses.</w:t>
      </w:r>
    </w:p>
    <w:p>
      <w:r>
        <w:rPr>
          <w:b w:val="0"/>
        </w:rPr>
        <w:t>Card B: Do not assume one format suits everyone.</w:t>
      </w:r>
    </w:p>
    <w:p>
      <w:r>
        <w:rPr>
          <w:b w:val="0"/>
        </w:rPr>
        <w:t>Card C: No pupil must defend or disclose a belief.</w:t>
      </w:r>
    </w:p>
    <w:p>
      <w:r>
        <w:rPr>
          <w:b w:val="0"/>
        </w:rPr>
        <w:t>Card D: Rights do not mean every preference can be met immediately.</w:t>
      </w:r>
    </w:p>
    <w:p>
      <w:r>
        <w:rPr>
          <w:b w:val="0"/>
        </w:rPr>
        <w:t>Card E: Do not assign a lesser role without asking the person.</w:t>
      </w:r>
    </w:p>
    <w:p>
      <w:r>
        <w:rPr>
          <w:b w:val="0"/>
        </w:rPr>
        <w:t>Card F: Fair safety rules still apply; avoid promises about specific legal remedies.</w:t>
      </w:r>
    </w:p>
    <w:p>
      <w:pPr>
        <w:pStyle w:val="Heading1"/>
      </w:pPr>
      <w:r>
        <w:rPr>
          <w:b w:val="0"/>
        </w:rPr>
        <w:t>Common misunderstandings</w:t>
      </w:r>
    </w:p>
    <w:p>
      <w:r>
        <w:rPr>
          <w:b w:val="0"/>
        </w:rPr>
        <w:t>Rights are not rewards. Fair access need not mean identical support. Respect does not require agreement with every idea, and safety rules can protect everyone’s participation.</w:t>
      </w:r>
    </w:p>
    <w:p>
      <w:pPr>
        <w:pStyle w:val="Heading1"/>
      </w:pPr>
      <w:r>
        <w:rPr>
          <w:b w:val="0"/>
        </w:rPr>
        <w:t>Teaching boundary</w:t>
      </w:r>
    </w:p>
    <w:p>
      <w:r>
        <w:rPr>
          <w:b w:val="0"/>
        </w:rPr>
        <w:t>Use fictional settings. Do not require pupils to disclose disability, belief, identity or personal rights concerns. Avoid debates about whether a group deserves rights. Refer real concerns to staff and local procedures.</w:t>
      </w:r>
    </w:p>
    <w:p>
      <w:pPr>
        <w:pStyle w:val="Heading1"/>
      </w:pPr>
      <w:r>
        <w:rPr>
          <w:b w:val="0"/>
        </w:rPr>
        <w:t>Feedback</w:t>
      </w:r>
    </w:p>
    <w:p>
      <w:r>
        <w:rPr>
          <w:b w:val="0"/>
        </w:rPr>
        <w:t>If a reason is missing, return to the fact or actual work. Re-model a different example, then keep the learner’s own revision. Use NS+ and the learner response in their own colour before R. E means evidence actually banked. Keep safeguarding records separate.</w:t>
      </w:r>
    </w:p>
    <w:p>
      <w:pPr>
        <w:pStyle w:val="Heading1"/>
      </w:pPr>
      <w:r>
        <w:rPr>
          <w:b w:val="0"/>
        </w:rPr>
        <w:t>Assessment boundary</w:t>
      </w:r>
    </w:p>
    <w:p>
      <w:r>
        <w:rPr>
          <w:b w:val="0"/>
        </w:rPr>
        <w:t>LAUNCH-PSHE-W6-E1 contributes to the source assessment. No criterion, registration or award completion is invented. Sources: FACTS_LEDGER.md.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PSHE-LAUNCH-A2-W06 · School and Public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Staff answers and response guide</dc:title>
  <dc:subject>PSHE-LAUNCH-A2-W06</dc:subject>
  <dc:creator/>
  <cp:keywords/>
  <dc:description/>
  <cp:lastModifiedBy/>
  <cp:revision>1</cp:revision>
  <dcterms:created xsi:type="dcterms:W3CDTF">2026-10-24T00:00:00Z</dcterms:created>
  <dcterms:modified xsi:type="dcterms:W3CDTF">2026-10-24T00:00:00Z</dcterms:modified>
  <cp:category/>
</cp:coreProperties>
</file>