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Teacher and cover planner</w:t>
      </w:r>
    </w:p>
    <w:p>
      <w:r>
        <w:rPr>
          <w:b/>
        </w:rPr>
        <w:t>Adult life choices and responsibilities</w:t>
      </w:r>
    </w:p>
    <w:p>
      <w:r>
        <w:rPr>
          <w:b w:val="0"/>
        </w:rPr>
        <w:t>Monday 14–Friday 18 December 2026 · one 40-minute lesson</w:t>
      </w:r>
    </w:p>
    <w:p>
      <w:r>
        <w:rPr>
          <w:b w:val="0"/>
        </w:rPr>
        <w:t>Teaching date: __________________   Teacher: __________________</w:t>
      </w:r>
    </w:p>
    <w:p>
      <w:pPr>
        <w:pStyle w:val="Heading1"/>
      </w:pPr>
      <w:r>
        <w:rPr>
          <w:b w:val="0"/>
        </w:rPr>
        <w:t>Exact scheme cells</w:t>
      </w:r>
    </w:p>
    <w:p>
      <w:r>
        <w:rPr>
          <w:b w:val="0"/>
        </w:rPr>
        <w:t>LAUNCH Weekly - Autumn!C185</w:t>
        <w:br/>
        <w:t>Adult life &amp; responsibilities task.</w:t>
      </w:r>
    </w:p>
    <w:p>
      <w:r>
        <w:rPr>
          <w:b w:val="0"/>
        </w:rPr>
        <w:t>LAUNCH - Autumn!D27</w:t>
        <w:br/>
        <w:t>Adult life: money, work, safety &amp; citizenship</w:t>
      </w:r>
    </w:p>
    <w:p>
      <w:r>
        <w:rPr>
          <w:b w:val="0"/>
        </w:rPr>
        <w:t>LAUNCH - Autumn!I27</w:t>
        <w:br/>
        <w:t>PSHE Association (KS4/post-16 PoS); ACT Citizenship; [AWARD] [QUAL] '[QUAL]'.</w:t>
      </w:r>
    </w:p>
    <w:p>
      <w:r>
        <w:rPr>
          <w:b w:val="0"/>
        </w:rPr>
        <w:t>LAUNCH - Autumn!J27</w:t>
        <w:br/>
        <w:t>F: scenarios &amp; tasks. S: adult life &amp; responsibilities task (Dec).</w:t>
      </w:r>
    </w:p>
    <w:p>
      <w:r>
        <w:rPr>
          <w:b w:val="0"/>
        </w:rPr>
        <w:t>The source assessment is retained. This lesson contributes evidence; it does not by itself complete an award. Public award labels are masked only.</w:t>
      </w:r>
    </w:p>
    <w:p>
      <w:pPr>
        <w:pStyle w:val="Heading1"/>
      </w:pPr>
      <w:r>
        <w:rPr>
          <w:b w:val="0"/>
        </w:rPr>
        <w:t>Purpose and success checks</w:t>
      </w:r>
    </w:p>
    <w:p>
      <w:r>
        <w:rPr>
          <w:b w:val="0"/>
        </w:rPr>
        <w:t>How can I show a reasoned choice in adult-life tasks?</w:t>
      </w:r>
    </w:p>
    <w:p>
      <w:r>
        <w:rPr>
          <w:b w:val="0"/>
        </w:rPr>
        <w:t>I can use facts to make a practical choice. I can explain a responsibility and help route. I can review my own evidence and next step.</w:t>
      </w:r>
    </w:p>
    <w:p>
      <w:r>
        <w:rPr>
          <w:b w:val="0"/>
        </w:rPr>
        <w:t>LAUNCH-PSHE-W7-E1: December adult-life task with core money calculation, workplace clarification and privacy decision; individual reasons, support record, evidence references and next step.</w:t>
      </w:r>
    </w:p>
    <w:p>
      <w:pPr>
        <w:pStyle w:val="Heading1"/>
      </w:pPr>
      <w:r>
        <w:rPr>
          <w:b w:val="0"/>
        </w:rPr>
        <w:t>Before pupils arrive</w:t>
      </w:r>
    </w:p>
    <w:p>
      <w:r>
        <w:rPr>
          <w:b w:val="0"/>
        </w:rPr>
        <w:t>Print fresh A–C tasks and optional D–F. Provide counters, a number line or calculator where appropriate and record the aid. Retrieve authentic prior evidence for the final review; no real bank details or accounts.</w:t>
      </w:r>
    </w:p>
    <w:p>
      <w:r>
        <w:rPr>
          <w:b w:val="0"/>
        </w:rPr>
        <w:t>Offer processing time, a quiet start and the usual communication support. Capture each learner’s own work. Read the Staff Answers before teaching.</w:t>
      </w:r>
    </w:p>
    <w:p>
      <w:pPr>
        <w:pStyle w:val="Heading1"/>
      </w:pPr>
      <w:r>
        <w:rPr>
          <w:b w:val="0"/>
        </w:rPr>
        <w:t>Calendar and continuity</w:t>
      </w:r>
    </w:p>
    <w:p>
      <w:r>
        <w:rPr>
          <w:b w:val="0"/>
        </w:rPr>
        <w:t>Monday 14–Friday 18 December 2026. One lesson per week on this line. No teaching day or clock slot is inferred.</w:t>
      </w:r>
    </w:p>
    <w:p>
      <w:r>
        <w:rPr>
          <w:b w:val="0"/>
        </w:rPr>
        <w:t>Staff enter the actual teaching date above. Continue the accepted prior-week evidence and support routines.</w:t>
      </w:r>
    </w:p>
    <w:p>
      <w:r>
        <w:br w:type="page"/>
      </w:r>
    </w:p>
    <w:p>
      <w:pPr>
        <w:pStyle w:val="Heading1"/>
      </w:pPr>
      <w:r>
        <w:rPr>
          <w:b w:val="0"/>
        </w:rPr>
        <w:t>Forty minute sequence</w:t>
      </w:r>
    </w:p>
    <w:tbl>
      <w:tblPr>
        <w:tblStyle w:val="TableGrid"/>
        <w:tblW w:type="auto" w:w="0"/>
        <w:tblLayout w:type="fixed"/>
        <w:tblLook w:firstColumn="1" w:firstRow="1" w:lastColumn="0" w:lastRow="0" w:noHBand="0" w:noVBand="1" w:val="04A0"/>
      </w:tblPr>
      <w:tblGrid>
        <w:gridCol w:w="936"/>
        <w:gridCol w:w="648"/>
        <w:gridCol w:w="8352"/>
      </w:tblGrid>
      <w:tr>
        <w:trPr>
          <w:tblHeader/>
          <w:cantSplit/>
        </w:trPr>
        <w:tc>
          <w:tcPr>
            <w:tcW w:type="dxa" w:w="936"/>
          </w:tcPr>
          <w:p>
            <w:pPr>
              <w:spacing w:after="80" w:before="60"/>
            </w:pPr>
            <w:r>
              <w:rPr>
                <w:b/>
                <w:sz w:val="20"/>
              </w:rPr>
              <w:t>Slide</w:t>
            </w:r>
          </w:p>
        </w:tc>
        <w:tc>
          <w:tcPr>
            <w:tcW w:type="dxa" w:w="648"/>
          </w:tcPr>
          <w:p>
            <w:pPr>
              <w:spacing w:after="80" w:before="60"/>
            </w:pPr>
            <w:r>
              <w:rPr>
                <w:b/>
                <w:sz w:val="20"/>
              </w:rPr>
              <w:t>Min</w:t>
            </w:r>
          </w:p>
        </w:tc>
        <w:tc>
          <w:tcPr>
            <w:tcW w:type="dxa" w:w="8352"/>
          </w:tcPr>
          <w:p>
            <w:pPr>
              <w:spacing w:after="80" w:before="60"/>
            </w:pPr>
            <w:r>
              <w:rPr>
                <w:b/>
                <w:sz w:val="20"/>
              </w:rPr>
              <w:t>Action</w:t>
            </w:r>
          </w:p>
        </w:tc>
      </w:tr>
      <w:tr>
        <w:trPr>
          <w:cantSplit/>
        </w:trPr>
        <w:tc>
          <w:tcPr>
            <w:tcW w:type="dxa" w:w="936"/>
          </w:tcPr>
          <w:p>
            <w:pPr>
              <w:spacing w:after="80" w:before="60"/>
            </w:pPr>
            <w:r>
              <w:rPr>
                <w:b w:val="0"/>
                <w:sz w:val="20"/>
              </w:rPr>
              <w:t>1</w:t>
            </w:r>
          </w:p>
        </w:tc>
        <w:tc>
          <w:tcPr>
            <w:tcW w:type="dxa" w:w="648"/>
          </w:tcPr>
          <w:p>
            <w:pPr>
              <w:spacing w:after="80" w:before="60"/>
            </w:pPr>
            <w:r>
              <w:rPr>
                <w:b w:val="0"/>
                <w:sz w:val="20"/>
              </w:rPr>
              <w:t>0</w:t>
            </w:r>
          </w:p>
        </w:tc>
        <w:tc>
          <w:tcPr>
            <w:tcW w:type="dxa" w:w="8352"/>
          </w:tcPr>
          <w:p>
            <w:pPr>
              <w:spacing w:after="80" w:before="60"/>
            </w:pPr>
            <w:r>
              <w:rPr>
                <w:b w:val="0"/>
                <w:sz w:val="20"/>
              </w:rPr>
              <w:t>Open title and big question before timing.</w:t>
            </w:r>
          </w:p>
        </w:tc>
      </w:tr>
      <w:tr>
        <w:trPr>
          <w:cantSplit/>
        </w:trPr>
        <w:tc>
          <w:tcPr>
            <w:tcW w:type="dxa" w:w="936"/>
          </w:tcPr>
          <w:p>
            <w:pPr>
              <w:spacing w:after="80" w:before="60"/>
            </w:pPr>
            <w:r>
              <w:rPr>
                <w:b w:val="0"/>
                <w:sz w:val="20"/>
              </w:rPr>
              <w:t>2</w:t>
            </w:r>
          </w:p>
        </w:tc>
        <w:tc>
          <w:tcPr>
            <w:tcW w:type="dxa" w:w="648"/>
          </w:tcPr>
          <w:p>
            <w:pPr>
              <w:spacing w:after="80" w:before="60"/>
            </w:pPr>
            <w:r>
              <w:rPr>
                <w:b w:val="0"/>
                <w:sz w:val="20"/>
              </w:rPr>
              <w:t>4</w:t>
            </w:r>
          </w:p>
        </w:tc>
        <w:tc>
          <w:tcPr>
            <w:tcW w:type="dxa" w:w="8352"/>
          </w:tcPr>
          <w:p>
            <w:pPr>
              <w:spacing w:after="80" w:before="60"/>
            </w:pPr>
            <w:r>
              <w:rPr>
                <w:b w:val="0"/>
                <w:sz w:val="20"/>
              </w:rPr>
              <w:t>Private check-in, quiet start and support choice.</w:t>
            </w:r>
          </w:p>
        </w:tc>
      </w:tr>
      <w:tr>
        <w:trPr>
          <w:cantSplit/>
        </w:trPr>
        <w:tc>
          <w:tcPr>
            <w:tcW w:type="dxa" w:w="936"/>
          </w:tcPr>
          <w:p>
            <w:pPr>
              <w:spacing w:after="80" w:before="60"/>
            </w:pPr>
            <w:r>
              <w:rPr>
                <w:b w:val="0"/>
                <w:sz w:val="20"/>
              </w:rPr>
              <w:t>3</w:t>
            </w:r>
          </w:p>
        </w:tc>
        <w:tc>
          <w:tcPr>
            <w:tcW w:type="dxa" w:w="648"/>
          </w:tcPr>
          <w:p>
            <w:pPr>
              <w:spacing w:after="80" w:before="60"/>
            </w:pPr>
            <w:r>
              <w:rPr>
                <w:b w:val="0"/>
                <w:sz w:val="20"/>
              </w:rPr>
              <w:t>2</w:t>
            </w:r>
          </w:p>
        </w:tc>
        <w:tc>
          <w:tcPr>
            <w:tcW w:type="dxa" w:w="8352"/>
          </w:tcPr>
          <w:p>
            <w:pPr>
              <w:spacing w:after="80" w:before="60"/>
            </w:pPr>
            <w:r>
              <w:rPr>
                <w:b w:val="0"/>
                <w:sz w:val="20"/>
              </w:rPr>
              <w:t>Read the diagram; hear one clue or question.</w:t>
            </w:r>
          </w:p>
        </w:tc>
      </w:tr>
      <w:tr>
        <w:trPr>
          <w:cantSplit/>
        </w:trPr>
        <w:tc>
          <w:tcPr>
            <w:tcW w:type="dxa" w:w="936"/>
          </w:tcPr>
          <w:p>
            <w:pPr>
              <w:spacing w:after="80" w:before="60"/>
            </w:pPr>
            <w:r>
              <w:rPr>
                <w:b w:val="0"/>
                <w:sz w:val="20"/>
              </w:rPr>
              <w:t>4</w:t>
            </w:r>
          </w:p>
        </w:tc>
        <w:tc>
          <w:tcPr>
            <w:tcW w:type="dxa" w:w="648"/>
          </w:tcPr>
          <w:p>
            <w:pPr>
              <w:spacing w:after="80" w:before="60"/>
            </w:pPr>
            <w:r>
              <w:rPr>
                <w:b w:val="0"/>
                <w:sz w:val="20"/>
              </w:rPr>
              <w:t>0</w:t>
            </w:r>
          </w:p>
        </w:tc>
        <w:tc>
          <w:tcPr>
            <w:tcW w:type="dxa" w:w="8352"/>
          </w:tcPr>
          <w:p>
            <w:pPr>
              <w:spacing w:after="80" w:before="60"/>
            </w:pPr>
            <w:r>
              <w:rPr>
                <w:b w:val="0"/>
                <w:sz w:val="20"/>
              </w:rPr>
              <w:t>Read the exact objective and success checks.</w:t>
            </w:r>
          </w:p>
        </w:tc>
      </w:tr>
      <w:tr>
        <w:trPr>
          <w:cantSplit/>
        </w:trPr>
        <w:tc>
          <w:tcPr>
            <w:tcW w:type="dxa" w:w="936"/>
          </w:tcPr>
          <w:p>
            <w:pPr>
              <w:spacing w:after="80" w:before="60"/>
            </w:pPr>
            <w:r>
              <w:rPr>
                <w:b w:val="0"/>
                <w:sz w:val="20"/>
              </w:rPr>
              <w:t>5</w:t>
            </w:r>
          </w:p>
        </w:tc>
        <w:tc>
          <w:tcPr>
            <w:tcW w:type="dxa" w:w="648"/>
          </w:tcPr>
          <w:p>
            <w:pPr>
              <w:spacing w:after="80" w:before="60"/>
            </w:pPr>
            <w:r>
              <w:rPr>
                <w:b w:val="0"/>
                <w:sz w:val="20"/>
              </w:rPr>
              <w:t>5</w:t>
            </w:r>
          </w:p>
        </w:tc>
        <w:tc>
          <w:tcPr>
            <w:tcW w:type="dxa" w:w="8352"/>
          </w:tcPr>
          <w:p>
            <w:pPr>
              <w:spacing w:after="80" w:before="60"/>
            </w:pPr>
            <w:r>
              <w:rPr>
                <w:b w:val="0"/>
                <w:sz w:val="20"/>
              </w:rPr>
              <w:t>Model the six lines; explain the reason for each.</w:t>
            </w:r>
          </w:p>
        </w:tc>
      </w:tr>
      <w:tr>
        <w:trPr>
          <w:cantSplit/>
        </w:trPr>
        <w:tc>
          <w:tcPr>
            <w:tcW w:type="dxa" w:w="936"/>
          </w:tcPr>
          <w:p>
            <w:pPr>
              <w:spacing w:after="80" w:before="60"/>
            </w:pPr>
            <w:r>
              <w:rPr>
                <w:b w:val="0"/>
                <w:sz w:val="20"/>
              </w:rPr>
              <w:t>6</w:t>
            </w:r>
          </w:p>
        </w:tc>
        <w:tc>
          <w:tcPr>
            <w:tcW w:type="dxa" w:w="648"/>
          </w:tcPr>
          <w:p>
            <w:pPr>
              <w:spacing w:after="80" w:before="60"/>
            </w:pPr>
            <w:r>
              <w:rPr>
                <w:b w:val="0"/>
                <w:sz w:val="20"/>
              </w:rPr>
              <w:t>5</w:t>
            </w:r>
          </w:p>
        </w:tc>
        <w:tc>
          <w:tcPr>
            <w:tcW w:type="dxa" w:w="8352"/>
          </w:tcPr>
          <w:p>
            <w:pPr>
              <w:spacing w:after="80" w:before="60"/>
            </w:pPr>
            <w:r>
              <w:rPr>
                <w:b w:val="0"/>
                <w:sz w:val="20"/>
              </w:rPr>
              <w:t>Ask for a hinge answer and reason; reteach if needed.</w:t>
            </w:r>
          </w:p>
        </w:tc>
      </w:tr>
      <w:tr>
        <w:trPr>
          <w:cantSplit/>
        </w:trPr>
        <w:tc>
          <w:tcPr>
            <w:tcW w:type="dxa" w:w="936"/>
          </w:tcPr>
          <w:p>
            <w:pPr>
              <w:spacing w:after="80" w:before="60"/>
            </w:pPr>
            <w:r>
              <w:rPr>
                <w:b w:val="0"/>
                <w:sz w:val="20"/>
              </w:rPr>
              <w:t>7</w:t>
            </w:r>
          </w:p>
        </w:tc>
        <w:tc>
          <w:tcPr>
            <w:tcW w:type="dxa" w:w="648"/>
          </w:tcPr>
          <w:p>
            <w:pPr>
              <w:spacing w:after="80" w:before="60"/>
            </w:pPr>
            <w:r>
              <w:rPr>
                <w:b w:val="0"/>
                <w:sz w:val="20"/>
              </w:rPr>
              <w:t>12</w:t>
            </w:r>
          </w:p>
        </w:tc>
        <w:tc>
          <w:tcPr>
            <w:tcW w:type="dxa" w:w="8352"/>
          </w:tcPr>
          <w:p>
            <w:pPr>
              <w:spacing w:after="80" w:before="60"/>
            </w:pPr>
            <w:r>
              <w:rPr>
                <w:b w:val="0"/>
                <w:sz w:val="20"/>
              </w:rPr>
              <w:t>Use the six cards and the Supported/Independent/Aspire routes.</w:t>
            </w:r>
          </w:p>
        </w:tc>
      </w:tr>
      <w:tr>
        <w:trPr>
          <w:cantSplit/>
        </w:trPr>
        <w:tc>
          <w:tcPr>
            <w:tcW w:type="dxa" w:w="936"/>
          </w:tcPr>
          <w:p>
            <w:pPr>
              <w:spacing w:after="80" w:before="60"/>
            </w:pPr>
            <w:r>
              <w:rPr>
                <w:b w:val="0"/>
                <w:sz w:val="20"/>
              </w:rPr>
              <w:t>8</w:t>
            </w:r>
          </w:p>
        </w:tc>
        <w:tc>
          <w:tcPr>
            <w:tcW w:type="dxa" w:w="648"/>
          </w:tcPr>
          <w:p>
            <w:pPr>
              <w:spacing w:after="80" w:before="60"/>
            </w:pPr>
            <w:r>
              <w:rPr>
                <w:b w:val="0"/>
                <w:sz w:val="20"/>
              </w:rPr>
              <w:t>6</w:t>
            </w:r>
          </w:p>
        </w:tc>
        <w:tc>
          <w:tcPr>
            <w:tcW w:type="dxa" w:w="8352"/>
          </w:tcPr>
          <w:p>
            <w:pPr>
              <w:spacing w:after="80" w:before="60"/>
            </w:pPr>
            <w:r>
              <w:rPr>
                <w:b w:val="0"/>
                <w:sz w:val="20"/>
              </w:rPr>
              <w:t>Complete the individual two-page evidence record.</w:t>
            </w:r>
          </w:p>
        </w:tc>
      </w:tr>
      <w:tr>
        <w:trPr>
          <w:cantSplit/>
        </w:trPr>
        <w:tc>
          <w:tcPr>
            <w:tcW w:type="dxa" w:w="936"/>
          </w:tcPr>
          <w:p>
            <w:pPr>
              <w:spacing w:after="80" w:before="60"/>
            </w:pPr>
            <w:r>
              <w:rPr>
                <w:b w:val="0"/>
                <w:sz w:val="20"/>
              </w:rPr>
              <w:t>9</w:t>
            </w:r>
          </w:p>
        </w:tc>
        <w:tc>
          <w:tcPr>
            <w:tcW w:type="dxa" w:w="648"/>
          </w:tcPr>
          <w:p>
            <w:pPr>
              <w:spacing w:after="80" w:before="60"/>
            </w:pPr>
            <w:r>
              <w:rPr>
                <w:b w:val="0"/>
                <w:sz w:val="20"/>
              </w:rPr>
              <w:t>4</w:t>
            </w:r>
          </w:p>
        </w:tc>
        <w:tc>
          <w:tcPr>
            <w:tcW w:type="dxa" w:w="8352"/>
          </w:tcPr>
          <w:p>
            <w:pPr>
              <w:spacing w:after="80" w:before="60"/>
            </w:pPr>
            <w:r>
              <w:rPr>
                <w:b w:val="0"/>
                <w:sz w:val="20"/>
              </w:rPr>
              <w:t>Check ownership, support, response and next step.</w:t>
            </w:r>
          </w:p>
        </w:tc>
      </w:tr>
      <w:tr>
        <w:trPr>
          <w:cantSplit/>
        </w:trPr>
        <w:tc>
          <w:tcPr>
            <w:tcW w:type="dxa" w:w="936"/>
          </w:tcPr>
          <w:p>
            <w:pPr>
              <w:spacing w:after="80" w:before="60"/>
            </w:pPr>
            <w:r>
              <w:rPr>
                <w:b w:val="0"/>
                <w:sz w:val="20"/>
              </w:rPr>
              <w:t>10</w:t>
            </w:r>
          </w:p>
        </w:tc>
        <w:tc>
          <w:tcPr>
            <w:tcW w:type="dxa" w:w="648"/>
          </w:tcPr>
          <w:p>
            <w:pPr>
              <w:spacing w:after="80" w:before="60"/>
            </w:pPr>
            <w:r>
              <w:rPr>
                <w:b w:val="0"/>
                <w:sz w:val="20"/>
              </w:rPr>
              <w:t>2</w:t>
            </w:r>
          </w:p>
        </w:tc>
        <w:tc>
          <w:tcPr>
            <w:tcW w:type="dxa" w:w="8352"/>
          </w:tcPr>
          <w:p>
            <w:pPr>
              <w:spacing w:after="80" w:before="60"/>
            </w:pPr>
            <w:r>
              <w:rPr>
                <w:b w:val="0"/>
                <w:sz w:val="20"/>
              </w:rPr>
              <w:t>Take a short quiet exit response.</w:t>
            </w:r>
          </w:p>
        </w:tc>
      </w:tr>
      <w:tr>
        <w:trPr>
          <w:cantSplit/>
        </w:trPr>
        <w:tc>
          <w:tcPr>
            <w:tcW w:type="dxa" w:w="936"/>
          </w:tcPr>
          <w:p>
            <w:pPr>
              <w:spacing w:after="80" w:before="60"/>
            </w:pPr>
            <w:r>
              <w:rPr>
                <w:b w:val="0"/>
                <w:sz w:val="20"/>
              </w:rPr>
              <w:t>11</w:t>
            </w:r>
          </w:p>
        </w:tc>
        <w:tc>
          <w:tcPr>
            <w:tcW w:type="dxa" w:w="648"/>
          </w:tcPr>
          <w:p>
            <w:pPr>
              <w:spacing w:after="80" w:before="60"/>
            </w:pPr>
            <w:r>
              <w:rPr>
                <w:b w:val="0"/>
                <w:sz w:val="20"/>
              </w:rPr>
              <w:t>0</w:t>
            </w:r>
          </w:p>
        </w:tc>
        <w:tc>
          <w:tcPr>
            <w:tcW w:type="dxa" w:w="8352"/>
          </w:tcPr>
          <w:p>
            <w:pPr>
              <w:spacing w:after="80" w:before="60"/>
            </w:pPr>
            <w:r>
              <w:rPr>
                <w:b w:val="0"/>
                <w:sz w:val="20"/>
              </w:rPr>
              <w:t>Use the vocabulary mat throughout.</w:t>
            </w:r>
          </w:p>
        </w:tc>
      </w:tr>
      <w:tr>
        <w:trPr>
          <w:cantSplit/>
        </w:trPr>
        <w:tc>
          <w:tcPr>
            <w:tcW w:type="dxa" w:w="936"/>
          </w:tcPr>
          <w:p>
            <w:pPr>
              <w:spacing w:after="80" w:before="60"/>
            </w:pPr>
            <w:r>
              <w:rPr>
                <w:b w:val="0"/>
                <w:sz w:val="20"/>
              </w:rPr>
              <w:t>12</w:t>
            </w:r>
          </w:p>
        </w:tc>
        <w:tc>
          <w:tcPr>
            <w:tcW w:type="dxa" w:w="648"/>
          </w:tcPr>
          <w:p>
            <w:pPr>
              <w:spacing w:after="80" w:before="60"/>
            </w:pPr>
            <w:r>
              <w:rPr>
                <w:b w:val="0"/>
                <w:sz w:val="20"/>
              </w:rPr>
              <w:t>0</w:t>
            </w:r>
          </w:p>
        </w:tc>
        <w:tc>
          <w:tcPr>
            <w:tcW w:type="dxa" w:w="8352"/>
          </w:tcPr>
          <w:p>
            <w:pPr>
              <w:spacing w:after="80" w:before="60"/>
            </w:pPr>
            <w:r>
              <w:rPr>
                <w:b w:val="0"/>
                <w:sz w:val="20"/>
              </w:rPr>
              <w:t>Hidden reference for adults.</w:t>
            </w:r>
          </w:p>
        </w:tc>
      </w:tr>
    </w:tbl>
    <w:p>
      <w:pPr>
        <w:pStyle w:val="Heading1"/>
      </w:pPr>
      <w:r>
        <w:rPr>
          <w:b w:val="0"/>
        </w:rPr>
        <w:t>Hinge and reteach</w:t>
      </w:r>
    </w:p>
    <w:p>
      <w:r>
        <w:rPr>
          <w:b w:val="0"/>
        </w:rPr>
        <w:t>C. Clarify before acting, especially where safety or money is involved. Asking for help is responsible. Reteach with a harmless packing instruction, then use a fresh task to assess the learner’s own decision.</w:t>
      </w:r>
    </w:p>
    <w:p>
      <w:pPr>
        <w:pStyle w:val="Heading1"/>
      </w:pPr>
      <w:r>
        <w:rPr>
          <w:b w:val="0"/>
        </w:rPr>
        <w:t>Access and practice</w:t>
      </w:r>
    </w:p>
    <w:p>
      <w:r>
        <w:rPr>
          <w:b w:val="0"/>
        </w:rPr>
        <w:t>Supported: hear facts and use a number line. Independent: show a choice and reason. Aspire: apply the skill to D, E or F.</w:t>
      </w:r>
    </w:p>
    <w:p>
      <w:r>
        <w:rPr>
          <w:b w:val="0"/>
        </w:rPr>
        <w:t>Model the process using different values or a harmless instruction; do not give the assessed answers. Read/scribe as needed, record support and collect independent choices/reasons. Add a next step from an actual gap.</w:t>
      </w:r>
    </w:p>
    <w:p>
      <w:r>
        <w:rPr>
          <w:b w:val="0"/>
        </w:rPr>
        <w:t>Begin evidence during practice and finish during capture. Accept speech, pointing, drawing, writing or usual AAC. Scribe exact words without supplying the assessed reason. No forced pair work or public performance.</w:t>
      </w:r>
    </w:p>
    <w:p>
      <w:r>
        <w:br w:type="page"/>
      </w:r>
    </w:p>
    <w:p>
      <w:pPr>
        <w:pStyle w:val="Heading1"/>
      </w:pPr>
      <w:r>
        <w:rPr>
          <w:b w:val="0"/>
        </w:rPr>
        <w:t>Safe teaching evidence and learner voice</w:t>
      </w:r>
    </w:p>
    <w:p>
      <w:pPr>
        <w:pStyle w:val="Heading1"/>
      </w:pPr>
      <w:r>
        <w:rPr>
          <w:b w:val="0"/>
        </w:rPr>
        <w:t>Boundaries</w:t>
      </w:r>
    </w:p>
    <w:p>
      <w:r>
        <w:rPr>
          <w:b w:val="0"/>
        </w:rPr>
        <w:t>Use fictional money, work and safety cases. No personal finance, family or substance-use disclosure is required. Do not start real purchases or contact workplaces. Safeguarding concerns go through the separate staff route.</w:t>
      </w:r>
    </w:p>
    <w:p>
      <w:pPr>
        <w:pStyle w:val="Heading1"/>
      </w:pPr>
      <w:r>
        <w:rPr>
          <w:b w:val="0"/>
        </w:rPr>
        <w:t>Assessment and feedback</w:t>
      </w:r>
    </w:p>
    <w:p>
      <w:r>
        <w:rPr>
          <w:b w:val="0"/>
        </w:rPr>
        <w:t>A: £7 remains, with a visible calculation or explained counter method. B: ask the supervisor to clarify the unclear step before acting, with a reason. C: do not share someone’s private address; use trusted support if pressured. Require all three core tasks, record help and leave gaps explicit. Prior work supports review but does not replace missing current responses.</w:t>
      </w:r>
    </w:p>
    <w:p>
      <w:r>
        <w:rPr>
          <w:b w:val="0"/>
        </w:rPr>
        <w:t>Retain actual work, response mode and support. Use VF · WS · I · NS+ (Yellow Box) · // (self-edit) · ? (read back) · R (responded) · E (evidence in the school's evidence record). R requires Voice, Audience, an NS+ prompt and the learner’s response in their own colour. Record E only after evidence is banked. Blank forms and adult models are not completed learner evidence.</w:t>
      </w:r>
    </w:p>
    <w:p>
      <w:pPr>
        <w:pStyle w:val="Heading1"/>
      </w:pPr>
      <w:r>
        <w:rPr>
          <w:b w:val="0"/>
        </w:rPr>
        <w:t>Lundy moments</w:t>
      </w:r>
    </w:p>
    <w:p>
      <w:r>
        <w:rPr>
          <w:b w:val="0"/>
        </w:rPr>
        <w:t>Space: calm, accessible participation. Voice: a choice, reason or help request. Audience: the adult listens or reads and replies. Influence: record the support or next-step change made in response.</w:t>
      </w:r>
    </w:p>
    <w:p>
      <w:pPr>
        <w:pStyle w:val="Heading1"/>
      </w:pPr>
      <w:r>
        <w:rPr>
          <w:b w:val="0"/>
        </w:rPr>
        <w:t>Speaking listening and writing</w:t>
      </w:r>
    </w:p>
    <w:p>
      <w:r>
        <w:rPr>
          <w:b w:val="0"/>
        </w:rPr>
        <w:t>Explain a calculation, ask a clear work question and justify a privacy choice. The receiving teacher maps authentic responses to their own portfolio; no communication criteria are assigned here.</w:t>
      </w:r>
    </w:p>
    <w:p>
      <w:pPr>
        <w:pStyle w:val="Heading1"/>
      </w:pPr>
      <w:r>
        <w:rPr>
          <w:b w:val="0"/>
        </w:rPr>
        <w:t>Reflection and provenance</w:t>
      </w:r>
    </w:p>
    <w:p>
      <w:r>
        <w:rPr>
          <w:b w:val="0"/>
        </w:rPr>
        <w:t>Next teaching need: __________________________________________________</w:t>
        <w:br/>
        <w:t>Learner request and change made: _______________________________________</w:t>
      </w:r>
    </w:p>
    <w:p>
      <w:r>
        <w:rPr>
          <w:b w:val="0"/>
        </w:rPr>
        <w:t>Sources: lane1/main scheme index, revision 840cc945; workbook revision 9ed44bdf, cells above, checked against main by blob/hash. Calendar: owner order. Local examples and diagrams are authored. Source URLs and limits: FACTS_LEDGER.md. No registration or award criteria are inferred.</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PSHE-LAUNCH-A2-W07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and cover planner</dc:title>
  <dc:subject>PSHE-LAUNCH-A2-W07</dc:subject>
  <dc:creator/>
  <cp:keywords/>
  <dc:description/>
  <cp:lastModifiedBy/>
  <cp:revision>1</cp:revision>
  <dcterms:created xsi:type="dcterms:W3CDTF">2026-10-24T00:00:00Z</dcterms:created>
  <dcterms:modified xsi:type="dcterms:W3CDTF">2026-10-24T00:00:00Z</dcterms:modified>
  <cp:category/>
</cp:coreProperties>
</file>