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Trip and community impact planner</w:t>
      </w:r>
    </w:p>
    <w:p>
      <w:r>
        <w:t>Year A · Autumn 2 Week 6 · w/c 7 December 2026</w:t>
      </w:r>
    </w:p>
    <w:p>
      <w:r>
        <w:t>Use the trip to explore community contribution and impact. Before departure, check one part of the sale record and draft a question. During the visit, each learner gathers one sourced fact. Afterwards, create a true thank-you and retain the donation and impact evidence for the 17 December review.</w:t>
      </w:r>
    </w:p>
    <w:p>
      <w:pPr>
        <w:pStyle w:val="Heading1"/>
      </w:pPr>
      <w:r>
        <w:t>Learning and evidence</w:t>
      </w:r>
    </w:p>
    <w:p>
      <w:r>
        <w:t>Success: I can check a fact. I can ask or share one true point. I can show what I learned and plan a kind thank-you.</w:t>
      </w:r>
    </w:p>
    <w:p>
      <w:r>
        <w:t>Evidence may support the accredited unit and the qualification. These are evidence opportunities. Check registration and the current unit requirements locally; a class total does not prove individual or full-unit achievement.</w:t>
      </w:r>
    </w:p>
    <w:p>
      <w:r>
        <w:t>L11-E1 keeps a personal funds check, a trip or classroom fact and its source, and the learner’s own thanks. Record real dates and support. Attendance or a shared total alone is not personal evidence.</w:t>
      </w:r>
    </w:p>
    <w:p>
      <w:r>
        <w:t>Portfolio offer: keep an authentic thank-you draft or rehearsed explanation if it fits the registered unit. Record the real audience and support. Sending and handover must not be inferred from a draft.</w:t>
      </w:r>
    </w:p>
    <w:p>
      <w:pPr>
        <w:pStyle w:val="Heading1"/>
      </w:pPr>
      <w:r>
        <w:t>Source row and timetable</w:t>
      </w:r>
    </w:p>
    <w:p>
      <w:r>
        <w:t>Student task: Count/check the total with staff, deduct agreed costs if applicable, confirm the donation amount and communicate the result. Create a thank-you message/display and, where possible, arrange handover to the charity.</w:t>
      </w:r>
    </w:p>
    <w:p>
      <w:r>
        <w:t>Evidence: Verified total raised/donated; thank-you email/card; impact display; charity response/receipt if available.</w:t>
      </w:r>
    </w:p>
    <w:p>
      <w:r>
        <w:t>Skills: Numeracy; communication; community impact; financial awareness.</w:t>
      </w:r>
    </w:p>
    <w:p>
      <w:r>
        <w:t>Adaptations: Use a prepared spreadsheet/tally; group calculation; sentence starters; visual before/after target comparison.</w:t>
      </w:r>
    </w:p>
    <w:p>
      <w:r>
        <w:t>Exit: Did we meet our success criteria? What difference will the money make?</w:t>
      </w:r>
    </w:p>
    <w:p>
      <w:r>
        <w:rPr>
          <w:sz w:val="18"/>
        </w:rPr>
        <w:t>Change from SoW and why: The owner places the trip in Week 6, subject to scheme fit and four weeks to organise it. Keep the row’s funds, donation, thanks and impact outcomes. Start organising by 9 November. A visit must help pupils explore community contribution or impact; it is not assumed to be a charity handover.</w:t>
      </w:r>
    </w:p>
    <w:p>
      <w:r>
        <w:rPr>
          <w:sz w:val="18"/>
        </w:rPr>
        <w:t>Lessons 1–2 were mapped by cover to a unit the learners are not registered on; their evidence is retained as project history.</w:t>
      </w:r>
    </w:p>
    <w:p>
      <w:r>
        <w:br w:type="page"/>
      </w:r>
    </w:p>
    <w:p>
      <w:pPr>
        <w:pStyle w:val="Heading1"/>
      </w:pPr>
      <w:r>
        <w:t>Learning around the trip</w:t>
      </w:r>
    </w:p>
    <w:tbl>
      <w:tblPr>
        <w:tblW w:type="auto" w:w="0"/>
        <w:tblLayout w:type="fixed"/>
        <w:tblLook w:firstColumn="1" w:firstRow="1" w:lastColumn="0" w:lastRow="0" w:noHBand="0" w:noVBand="1" w:val="04A0"/>
      </w:tblPr>
      <w:tblGrid>
        <w:gridCol w:w="1944"/>
        <w:gridCol w:w="6984"/>
        <w:gridCol w:w="1008"/>
      </w:tblGrid>
      <w:tr>
        <w:trPr>
          <w:cantSplit/>
          <w:tblHeader/>
        </w:trPr>
        <w:tc>
          <w:tcPr>
            <w:tcW w:type="dxa" w:w="1944"/>
            <w:tcBorders>
              <w:top w:val="single" w:sz="4" w:color="D9D9D9"/>
              <w:left w:val="single" w:sz="4" w:color="D9D9D9"/>
              <w:bottom w:val="single" w:sz="4" w:color="D9D9D9"/>
              <w:right w:val="single" w:sz="4" w:color="D9D9D9"/>
            </w:tcBorders>
            <w:shd w:fill="EAF1F3"/>
          </w:tcPr>
          <w:p>
            <w:pPr>
              <w:spacing w:after="80" w:before="80"/>
            </w:pPr>
            <w:r>
              <w:rPr>
                <w:b/>
                <w:sz w:val="21"/>
              </w:rPr>
              <w:t>Phase</w:t>
            </w:r>
          </w:p>
        </w:tc>
        <w:tc>
          <w:tcPr>
            <w:tcW w:type="dxa" w:w="6984"/>
            <w:tcBorders>
              <w:top w:val="single" w:sz="4" w:color="D9D9D9"/>
              <w:left w:val="single" w:sz="4" w:color="D9D9D9"/>
              <w:bottom w:val="single" w:sz="4" w:color="D9D9D9"/>
              <w:right w:val="single" w:sz="4" w:color="D9D9D9"/>
            </w:tcBorders>
            <w:shd w:fill="EAF1F3"/>
          </w:tcPr>
          <w:p>
            <w:pPr>
              <w:spacing w:after="80" w:before="80"/>
            </w:pPr>
            <w:r>
              <w:rPr>
                <w:b/>
                <w:sz w:val="21"/>
              </w:rPr>
              <w:t>Stage</w:t>
            </w:r>
          </w:p>
        </w:tc>
        <w:tc>
          <w:tcPr>
            <w:tcW w:type="dxa" w:w="1008"/>
            <w:tcBorders>
              <w:top w:val="single" w:sz="4" w:color="D9D9D9"/>
              <w:left w:val="single" w:sz="4" w:color="D9D9D9"/>
              <w:bottom w:val="single" w:sz="4" w:color="D9D9D9"/>
              <w:right w:val="single" w:sz="4" w:color="D9D9D9"/>
            </w:tcBorders>
            <w:shd w:fill="EAF1F3"/>
          </w:tcPr>
          <w:p>
            <w:pPr>
              <w:spacing w:after="80" w:before="80"/>
            </w:pPr>
            <w:r>
              <w:rPr>
                <w:b/>
                <w:sz w:val="21"/>
              </w:rPr>
              <w:t>Mins</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Before</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Arrival and regulation check</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2</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Before</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Retrieval</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2</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Before</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Today</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1</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Before</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I DO</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3</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Before</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WE DO</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4</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During</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Question and fact</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18</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After</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Fact and thanks</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6</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After</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Evidence check before hand-in</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2</w:t>
            </w:r>
          </w:p>
        </w:tc>
      </w:tr>
      <w:tr>
        <w:trPr>
          <w:cantSplit/>
        </w:trPr>
        <w:tc>
          <w:tcPr>
            <w:tcW w:type="dxa" w:w="1944"/>
            <w:tcBorders>
              <w:top w:val="single" w:sz="4" w:color="D9D9D9"/>
              <w:left w:val="single" w:sz="4" w:color="D9D9D9"/>
              <w:bottom w:val="single" w:sz="4" w:color="D9D9D9"/>
              <w:right w:val="single" w:sz="4" w:color="D9D9D9"/>
            </w:tcBorders>
          </w:tcPr>
          <w:p>
            <w:pPr>
              <w:spacing w:after="80" w:before="80"/>
            </w:pPr>
            <w:r>
              <w:rPr>
                <w:b w:val="0"/>
                <w:sz w:val="21"/>
              </w:rPr>
              <w:t>After</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Exit ticket</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21"/>
              </w:rPr>
              <w:t>2</w:t>
            </w:r>
          </w:p>
        </w:tc>
      </w:tr>
    </w:tbl>
    <w:p>
      <w:pPr>
        <w:spacing w:after="0"/>
      </w:pPr>
    </w:p>
    <w:p>
      <w:r>
        <w:t>Learning totals 40 active minutes: 12 before, 18 during, 10 after. Travel, breaks and welfare time are additional. This is a learning sequence, not the visit itinerary. If the visit cannot proceed, use the same tasks with an adult-selected community source and label the evidence classroom work.</w:t>
      </w:r>
    </w:p>
    <w:p>
      <w:pPr>
        <w:pStyle w:val="Heading1"/>
      </w:pPr>
      <w:r>
        <w:t>Preparation and kit</w:t>
      </w:r>
    </w:p>
    <w:p>
      <w:r>
        <w:t>Confirm the scheme link, visit date and duration locally. Start organisation by 9 November. Before departure, complete approval, consent, staffing, access, travel, welfare and contingency arrangements. Use a predictable routine, a pause option and a classroom route for anyone who cannot attend.</w:t>
      </w:r>
    </w:p>
    <w:p>
      <w:r>
        <w:t>Prepare the checked sale tally, costs, original target, books, question cards, L11-E1 and thanks/display master. Use records or copies for maths; adults keep funds secure. Plan a short question and source note for each learner. No account or contact details appear in this pack.</w:t>
      </w:r>
    </w:p>
    <w:p>
      <w:pPr>
        <w:pStyle w:val="Heading1"/>
      </w:pPr>
      <w:r>
        <w:t>Mixed group organisation</w:t>
      </w:r>
    </w:p>
    <w:p>
      <w:r>
        <w:t>Before: each learner checks a line and drafts a question in their book. During: ask, point or hand over the question; note one fact and its source. An adult may scribe exact words. After: keep the fact, explain a link to our project and draft thanks. Give each learner a calm role and planned pauses.</w:t>
      </w:r>
    </w:p>
    <w:p>
      <w:r>
        <w:br w:type="page"/>
      </w:r>
    </w:p>
    <w:p>
      <w:pPr>
        <w:pStyle w:val="Heading1"/>
      </w:pPr>
      <w:r>
        <w:t>Verification and honest impact</w:t>
      </w:r>
    </w:p>
    <w:p>
      <w:r>
        <w:t>Carry forward H exactly: G = A − B − C + D − E + F; I = G + H; J = E + cashless gifts; K = I + J. Copy the signed values and original references into the prepared tally. H is verified cashless cake sales after refunds. Gifts are separate from cake sales. A float is borrowed change, not income.</w:t>
      </w:r>
    </w:p>
    <w:p>
      <w:r>
        <w:t>Reconcile receipts and agreed project costs. Deduct each chargeable cost once from K. Do not deduct donated ingredients or school-funded costs unless repayment was agreed. H adds non-sales payouts F back to reconstruct income; an approved project cost paid from the till therefore belongs once in the cost ledger. Cake refunds already reduce sales and must not be deducted again as costs.</w:t>
      </w:r>
    </w:p>
    <w:p>
      <w:r>
        <w:t>M = K − L, where L is agreed costs charged to this fundraiser. If M is negative, the tally disagrees or a payment has not cleared, mark confirmation pending. Do not change the target, hide the difference or announce a final donation. The finance lead resolves the gap.</w:t>
      </w:r>
    </w:p>
    <w:p>
      <w:r>
        <w:t>Use the exact L5 target and basis. Compare net donation to a net target or gross cake sales to a gross target. If the basis or target is missing, label comparison pending. Check awareness and safe-practice goals separately using the original criteria and real evidence.</w:t>
      </w:r>
    </w:p>
    <w:p>
      <w:r>
        <w:t>The £16, £4, £12 and £10 figures are teaching examples only. Replace the demonstration with actual figures when confirmed. the charity supports very unwell young children and their families. Donations help fund its care. Do not promise a particular item, treatment or number of hours without charity evidence.</w:t>
      </w:r>
    </w:p>
    <w:p>
      <w:pPr>
        <w:pStyle w:val="Heading1"/>
      </w:pPr>
      <w:r>
        <w:t>Drafts and handover</w:t>
      </w:r>
    </w:p>
    <w:p>
      <w:r>
        <w:t>During the visit, gather a fact about community work, service or impact. After it, draft separate thanks for the host and the charity where appropriate. The host is not assumed to receive the donation. Arrange any charity handover separately through authorised adults, with the real amount, status and proof. Do not mark a visit, message or transfer complete in advance.</w:t>
      </w:r>
    </w:p>
    <w:p>
      <w:r>
        <w:rPr>
          <w:sz w:val="18"/>
        </w:rPr>
        <w:t>Source: retained project fact record and Week 6 scheme row. Use only checked charity facts. The calendar follows the owner’s Week 6 instruction, revision 25 October 2026.</w:t>
      </w:r>
    </w:p>
    <w:p>
      <w:r>
        <w:br w:type="page"/>
      </w:r>
    </w:p>
    <w:p>
      <w:pPr>
        <w:pStyle w:val="Heading1"/>
      </w:pPr>
      <w:r>
        <w:t>Support assessment and follow through</w:t>
      </w:r>
    </w:p>
    <w:p>
      <w:r>
        <w:t>SUPPORTED: read aloud, point to one row, use a calculator, scribe verbatim or record speech. STANDARD: check a sum and create a message. STRETCH: explain a discrepancy, compare the same measures or identify a claim that lacks proof. The learner supplies the assessed check, idea and reason.</w:t>
      </w:r>
    </w:p>
    <w:p>
      <w:r>
        <w:t>Assessment: retrieval checks the real goal; the funds hinge expects B because the float is borrowed. During the visit, hear or read each learner’s question and fact. After it, check the source and personal thanks. Use the 17 December lesson for fuller reflection and assessment.</w:t>
      </w:r>
    </w:p>
    <w:p>
      <w:r>
        <w:t>Cold Call: Which total can we share? How does this link to our goal? What proof supports your fact? Use rehearsed or private responses and give pupils time to pause.</w:t>
      </w:r>
    </w:p>
    <w:p>
      <w:r>
        <w:t>Space: Offer speech, pointing, drawing, scribing or a quiet calculation role.</w:t>
      </w:r>
    </w:p>
    <w:p>
      <w:r>
        <w:t>Voice: Each pupil chooses a true contribution and words for the thank-you.</w:t>
      </w:r>
    </w:p>
    <w:p>
      <w:r>
        <w:t>Audience: The teacher and finance lead hear and check the proposal; staff and charity are the intended later audience.</w:t>
      </w:r>
    </w:p>
    <w:p>
      <w:r>
        <w:t>Influence: Show how the pupil’s check or wording changes the tally, display or handover plan.</w:t>
      </w:r>
    </w:p>
    <w:p>
      <w:r>
        <w:t>Feedback: VF · WS · I · NS · E · R, using the agreed local meanings. Record the prompt and learner response. Capture evidence in the evidence record.</w:t>
      </w:r>
    </w:p>
    <w:p>
      <w:pPr>
        <w:pStyle w:val="Heading1"/>
      </w:pPr>
      <w:r>
        <w:t>Risk and release checks</w:t>
      </w:r>
    </w:p>
    <w:p>
      <w:r>
        <w:t>Complete visit controls in the separate restricted record. Keep cash and account details with authorised adults. Use pupil codes and approved evidence only. If the trip is delayed or cancelled, record the reason and use the classroom source route. Do not invent attendance, a handover or a host response.</w:t>
      </w:r>
    </w:p>
    <w:tbl>
      <w:tblPr>
        <w:tblW w:type="auto" w:w="0"/>
        <w:tblLayout w:type="fixed"/>
        <w:tblLook w:firstColumn="1" w:firstRow="1" w:lastColumn="0" w:lastRow="0" w:noHBand="0" w:noVBand="1" w:val="04A0"/>
      </w:tblPr>
      <w:tblGrid>
        <w:gridCol w:w="6624"/>
        <w:gridCol w:w="3312"/>
      </w:tblGrid>
      <w:tr>
        <w:trPr>
          <w:cantSplit/>
          <w:tblHeader/>
        </w:trPr>
        <w:tc>
          <w:tcPr>
            <w:tcW w:type="dxa" w:w="6624"/>
            <w:tcBorders>
              <w:top w:val="single" w:sz="4" w:color="D9D9D9"/>
              <w:left w:val="single" w:sz="4" w:color="D9D9D9"/>
              <w:bottom w:val="single" w:sz="4" w:color="D9D9D9"/>
              <w:right w:val="single" w:sz="4" w:color="D9D9D9"/>
            </w:tcBorders>
            <w:shd w:fill="EAF1F3"/>
          </w:tcPr>
          <w:p>
            <w:pPr>
              <w:spacing w:after="80" w:before="80"/>
            </w:pPr>
            <w:r>
              <w:rPr>
                <w:b/>
                <w:sz w:val="21"/>
              </w:rPr>
              <w:t>Adult check</w:t>
            </w:r>
          </w:p>
        </w:tc>
        <w:tc>
          <w:tcPr>
            <w:tcW w:type="dxa" w:w="3312"/>
            <w:tcBorders>
              <w:top w:val="single" w:sz="4" w:color="D9D9D9"/>
              <w:left w:val="single" w:sz="4" w:color="D9D9D9"/>
              <w:bottom w:val="single" w:sz="4" w:color="D9D9D9"/>
              <w:right w:val="single" w:sz="4" w:color="D9D9D9"/>
            </w:tcBorders>
            <w:shd w:fill="EAF1F3"/>
          </w:tcPr>
          <w:p>
            <w:pPr>
              <w:spacing w:after="80" w:before="80"/>
            </w:pPr>
            <w:r>
              <w:rPr>
                <w:b/>
                <w:sz w:val="21"/>
              </w:rPr>
              <w:t>Completion</w:t>
            </w:r>
          </w:p>
        </w:tc>
      </w:tr>
      <w:tr>
        <w:trPr>
          <w:cantSplit/>
        </w:trPr>
        <w:tc>
          <w:tcPr>
            <w:tcW w:type="dxa" w:w="6624"/>
            <w:tcBorders>
              <w:top w:val="single" w:sz="4" w:color="D9D9D9"/>
              <w:left w:val="single" w:sz="4" w:color="D9D9D9"/>
              <w:bottom w:val="single" w:sz="4" w:color="D9D9D9"/>
              <w:right w:val="single" w:sz="4" w:color="D9D9D9"/>
            </w:tcBorders>
          </w:tcPr>
          <w:p>
            <w:pPr>
              <w:spacing w:after="80" w:before="80"/>
            </w:pPr>
            <w:r>
              <w:rPr>
                <w:b w:val="0"/>
                <w:sz w:val="21"/>
              </w:rPr>
              <w:t>Scheme fit and four-week planning checked</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1"/>
              </w:rPr>
              <w:t>Role/code ___  Date ___</w:t>
            </w:r>
          </w:p>
        </w:tc>
      </w:tr>
      <w:tr>
        <w:trPr>
          <w:cantSplit/>
        </w:trPr>
        <w:tc>
          <w:tcPr>
            <w:tcW w:type="dxa" w:w="6624"/>
            <w:tcBorders>
              <w:top w:val="single" w:sz="4" w:color="D9D9D9"/>
              <w:left w:val="single" w:sz="4" w:color="D9D9D9"/>
              <w:bottom w:val="single" w:sz="4" w:color="D9D9D9"/>
              <w:right w:val="single" w:sz="4" w:color="D9D9D9"/>
            </w:tcBorders>
          </w:tcPr>
          <w:p>
            <w:pPr>
              <w:spacing w:after="80" w:before="80"/>
            </w:pPr>
            <w:r>
              <w:rPr>
                <w:b w:val="0"/>
                <w:sz w:val="21"/>
              </w:rPr>
              <w:t>Visit approval and access arrangements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1"/>
              </w:rPr>
              <w:t>___</w:t>
            </w:r>
          </w:p>
        </w:tc>
      </w:tr>
      <w:tr>
        <w:trPr>
          <w:cantSplit/>
        </w:trPr>
        <w:tc>
          <w:tcPr>
            <w:tcW w:type="dxa" w:w="6624"/>
            <w:tcBorders>
              <w:top w:val="single" w:sz="4" w:color="D9D9D9"/>
              <w:left w:val="single" w:sz="4" w:color="D9D9D9"/>
              <w:bottom w:val="single" w:sz="4" w:color="D9D9D9"/>
              <w:right w:val="single" w:sz="4" w:color="D9D9D9"/>
            </w:tcBorders>
          </w:tcPr>
          <w:p>
            <w:pPr>
              <w:spacing w:after="80" w:before="80"/>
            </w:pPr>
            <w:r>
              <w:rPr>
                <w:b w:val="0"/>
                <w:sz w:val="21"/>
              </w:rPr>
              <w:t>Funds, target and draft checked</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1"/>
              </w:rPr>
              <w:t>___</w:t>
            </w:r>
          </w:p>
        </w:tc>
      </w:tr>
      <w:tr>
        <w:trPr>
          <w:cantSplit/>
        </w:trPr>
        <w:tc>
          <w:tcPr>
            <w:tcW w:type="dxa" w:w="6624"/>
            <w:tcBorders>
              <w:top w:val="single" w:sz="4" w:color="D9D9D9"/>
              <w:left w:val="single" w:sz="4" w:color="D9D9D9"/>
              <w:bottom w:val="single" w:sz="4" w:color="D9D9D9"/>
              <w:right w:val="single" w:sz="4" w:color="D9D9D9"/>
            </w:tcBorders>
          </w:tcPr>
          <w:p>
            <w:pPr>
              <w:spacing w:after="80" w:before="80"/>
            </w:pPr>
            <w:r>
              <w:rPr>
                <w:b w:val="0"/>
                <w:sz w:val="21"/>
              </w:rPr>
              <w:t>Host thanks and charity handover kept distinct</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1"/>
              </w:rPr>
              <w:t>___</w:t>
            </w:r>
          </w:p>
        </w:tc>
      </w:tr>
      <w:tr>
        <w:trPr>
          <w:cantSplit/>
        </w:trPr>
        <w:tc>
          <w:tcPr>
            <w:tcW w:type="dxa" w:w="6624"/>
            <w:tcBorders>
              <w:top w:val="single" w:sz="4" w:color="D9D9D9"/>
              <w:left w:val="single" w:sz="4" w:color="D9D9D9"/>
              <w:bottom w:val="single" w:sz="4" w:color="D9D9D9"/>
              <w:right w:val="single" w:sz="4" w:color="D9D9D9"/>
            </w:tcBorders>
          </w:tcPr>
          <w:p>
            <w:pPr>
              <w:spacing w:after="80" w:before="80"/>
            </w:pPr>
            <w:r>
              <w:rPr>
                <w:b w:val="0"/>
                <w:sz w:val="21"/>
              </w:rPr>
              <w:t>Actual visit and donation status recorded</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1"/>
              </w:rPr>
              <w:t>Pending / approved / sent / received</w:t>
            </w:r>
          </w:p>
        </w:tc>
      </w:tr>
      <w:tr>
        <w:trPr>
          <w:cantSplit/>
        </w:trPr>
        <w:tc>
          <w:tcPr>
            <w:tcW w:type="dxa" w:w="6624"/>
            <w:tcBorders>
              <w:top w:val="single" w:sz="4" w:color="D9D9D9"/>
              <w:left w:val="single" w:sz="4" w:color="D9D9D9"/>
              <w:bottom w:val="single" w:sz="4" w:color="D9D9D9"/>
              <w:right w:val="single" w:sz="4" w:color="D9D9D9"/>
            </w:tcBorders>
          </w:tcPr>
          <w:p>
            <w:pPr>
              <w:spacing w:after="80" w:before="80"/>
            </w:pPr>
            <w:r>
              <w:rPr>
                <w:b w:val="0"/>
                <w:sz w:val="21"/>
              </w:rPr>
              <w:t>Contingency and next review date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1"/>
              </w:rPr>
              <w:t>___</w:t>
            </w:r>
          </w:p>
        </w:tc>
      </w:tr>
    </w:tbl>
    <w:p>
      <w:pPr>
        <w:spacing w:after="0"/>
      </w:pPr>
    </w:p>
    <w:p>
      <w:r>
        <w:rPr>
          <w:sz w:val="18"/>
        </w:rPr>
        <w:t>Calendar: Year A. Autumn 2 Weeks 1–5: build-up; Week 6, w/c 7 December 2026: trip, subject to scheme fit and at least four weeks to organise it; Week 7, w/c 14 December: reflection and assessment. Sale: 3 December 2026. Reflection: 17 December 2026, P5 12:50–13:30. Begin trip organisation by 9 November at the latest. Exact visit date, duration, venue and travel are to be confirmed locally.</w:t>
      </w:r>
    </w:p>
    <w:p>
      <w:r>
        <w:rPr>
          <w:sz w:val="18"/>
        </w:rPr>
        <w:t>Relative sources and revisions: 06_SOW_EXTRACT_Cake_Sale.md (2026-10-21); accepted Segment I (2026-10-24); owner calendar instruction (2026-10-25).</w:t>
      </w:r>
    </w:p>
    <w:sectPr w:rsidR="00FC693F" w:rsidRPr="0006063C" w:rsidSect="00034616">
      <w:headerReference w:type="default" r:id="rId9"/>
      <w:footerReference w:type="default" r:id="rId10"/>
      <w:pgSz w:w="11952" w:h="16848"/>
      <w:pgMar w:top="893"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COMM-GROW-A2-W06  ·  Lesson 11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Segoe UI" w:hAnsi="Segoe U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Segoe UI" w:hAnsi="Segoe U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Segoe UI" w:hAnsi="Segoe U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Segoe UI" w:hAnsi="Segoe U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Segoe UI" w:hAnsi="Segoe U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Segoe UI" w:hAnsi="Segoe U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Segoe UI" w:hAnsi="Segoe U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Segoe UI" w:hAnsi="Segoe U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Segoe UI" w:hAnsi="Segoe U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egoe UI" w:hAnsi="Segoe UI"/>
      <w:color w:val="000000"/>
    </w:rPr>
  </w:style>
  <w:style w:type="character" w:customStyle="1" w:styleId="Heading1Char">
    <w:name w:val="Heading 1 Char"/>
    <w:basedOn w:val="DefaultParagraphFont"/>
    <w:link w:val="Heading1"/>
    <w:uiPriority w:val="9"/>
    <w:rsid w:val="00FC693F"/>
    <w:rPr>
      <w:rFonts w:cstheme="majorBidi" w:ascii="Segoe UI" w:hAnsi="Segoe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Segoe UI" w:hAnsi="Segoe U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Segoe UI" w:hAnsi="Segoe U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Segoe UI" w:hAnsi="Segoe UI"/>
      <w:color w:val="000000"/>
      <w:spacing w:val="5"/>
      <w:kern w:val="28"/>
      <w:sz w:val="46"/>
      <w:szCs w:val="52"/>
    </w:rPr>
  </w:style>
  <w:style w:type="character" w:customStyle="1" w:styleId="TitleChar">
    <w:name w:val="Title Char"/>
    <w:basedOn w:val="DefaultParagraphFont"/>
    <w:link w:val="Title"/>
    <w:uiPriority w:val="10"/>
    <w:rsid w:val="00FC693F"/>
    <w:rPr>
      <w:rFonts w:cstheme="majorBidi" w:ascii="Segoe UI" w:hAnsi="Segoe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Segoe UI" w:hAnsi="Segoe UI"/>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Segoe UI" w:hAnsi="Segoe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egoe UI" w:hAnsi="Segoe UI"/>
      <w:color w:val="000000"/>
    </w:rPr>
  </w:style>
  <w:style w:type="paragraph" w:styleId="BodyText">
    <w:name w:val="Body Text"/>
    <w:basedOn w:val="Normal"/>
    <w:link w:val="BodyTextChar"/>
    <w:uiPriority w:val="99"/>
    <w:unhideWhenUsed/>
    <w:rsid w:val="00AA1D8D"/>
    <w:pPr>
      <w:spacing w:after="120"/>
    </w:pPr>
    <w:rPr>
      <w:rFonts w:ascii="Segoe UI" w:hAnsi="Segoe U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egoe UI" w:hAnsi="Segoe U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egoe UI" w:hAnsi="Segoe U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egoe UI" w:hAnsi="Segoe UI"/>
      <w:color w:val="000000"/>
    </w:rPr>
  </w:style>
  <w:style w:type="paragraph" w:styleId="List2">
    <w:name w:val="List 2"/>
    <w:basedOn w:val="Normal"/>
    <w:uiPriority w:val="99"/>
    <w:unhideWhenUsed/>
    <w:rsid w:val="00326F90"/>
    <w:pPr>
      <w:ind w:left="720" w:hanging="360"/>
      <w:contextualSpacing/>
    </w:pPr>
    <w:rPr>
      <w:rFonts w:ascii="Segoe UI" w:hAnsi="Segoe UI"/>
      <w:color w:val="000000"/>
    </w:rPr>
  </w:style>
  <w:style w:type="paragraph" w:styleId="List3">
    <w:name w:val="List 3"/>
    <w:basedOn w:val="Normal"/>
    <w:uiPriority w:val="99"/>
    <w:unhideWhenUsed/>
    <w:rsid w:val="00326F90"/>
    <w:pPr>
      <w:ind w:left="1080" w:hanging="360"/>
      <w:contextualSpacing/>
    </w:pPr>
    <w:rPr>
      <w:rFonts w:ascii="Segoe UI" w:hAnsi="Segoe UI"/>
      <w:color w:val="000000"/>
    </w:rPr>
  </w:style>
  <w:style w:type="paragraph" w:styleId="ListBullet">
    <w:name w:val="List Bullet"/>
    <w:basedOn w:val="Normal"/>
    <w:uiPriority w:val="99"/>
    <w:unhideWhenUsed/>
    <w:rsid w:val="00326F90"/>
    <w:pPr>
      <w:numPr>
        <w:numId w:val="1"/>
      </w:numPr>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rPr>
      <w:rFonts w:ascii="Segoe UI" w:hAnsi="Segoe UI"/>
      <w:color w:val="000000"/>
    </w:rPr>
  </w:style>
  <w:style w:type="paragraph" w:styleId="ListBullet3">
    <w:name w:val="List Bullet 3"/>
    <w:basedOn w:val="Normal"/>
    <w:uiPriority w:val="99"/>
    <w:unhideWhenUsed/>
    <w:rsid w:val="00326F90"/>
    <w:pPr>
      <w:numPr>
        <w:numId w:val="3"/>
      </w:numPr>
      <w:contextualSpacing/>
    </w:pPr>
    <w:rPr>
      <w:rFonts w:ascii="Segoe UI" w:hAnsi="Segoe UI"/>
      <w:color w:val="000000"/>
    </w:rPr>
  </w:style>
  <w:style w:type="paragraph" w:styleId="ListNumber">
    <w:name w:val="List Number"/>
    <w:basedOn w:val="Normal"/>
    <w:uiPriority w:val="99"/>
    <w:unhideWhenUsed/>
    <w:rsid w:val="00326F90"/>
    <w:pPr>
      <w:numPr>
        <w:numId w:val="5"/>
      </w:numPr>
      <w:contextualSpacing/>
    </w:pPr>
    <w:rPr>
      <w:rFonts w:ascii="Segoe UI" w:hAnsi="Segoe UI"/>
      <w:color w:val="000000"/>
    </w:rPr>
  </w:style>
  <w:style w:type="paragraph" w:styleId="ListNumber2">
    <w:name w:val="List Number 2"/>
    <w:basedOn w:val="Normal"/>
    <w:uiPriority w:val="99"/>
    <w:unhideWhenUsed/>
    <w:rsid w:val="0029639D"/>
    <w:pPr>
      <w:numPr>
        <w:numId w:val="6"/>
      </w:numPr>
      <w:contextualSpacing/>
    </w:pPr>
    <w:rPr>
      <w:rFonts w:ascii="Segoe UI" w:hAnsi="Segoe UI"/>
      <w:color w:val="000000"/>
    </w:rPr>
  </w:style>
  <w:style w:type="paragraph" w:styleId="ListNumber3">
    <w:name w:val="List Number 3"/>
    <w:basedOn w:val="Normal"/>
    <w:uiPriority w:val="99"/>
    <w:unhideWhenUsed/>
    <w:rsid w:val="0029639D"/>
    <w:pPr>
      <w:numPr>
        <w:numId w:val="7"/>
      </w:numPr>
      <w:contextualSpacing/>
    </w:pPr>
    <w:rPr>
      <w:rFonts w:ascii="Segoe UI" w:hAnsi="Segoe UI"/>
      <w:color w:val="000000"/>
    </w:rPr>
  </w:style>
  <w:style w:type="paragraph" w:styleId="ListContinue">
    <w:name w:val="List Continue"/>
    <w:basedOn w:val="Normal"/>
    <w:uiPriority w:val="99"/>
    <w:unhideWhenUsed/>
    <w:rsid w:val="0029639D"/>
    <w:pPr>
      <w:spacing w:after="120"/>
      <w:ind w:left="360"/>
      <w:contextualSpacing/>
    </w:pPr>
    <w:rPr>
      <w:rFonts w:ascii="Segoe UI" w:hAnsi="Segoe UI"/>
      <w:color w:val="000000"/>
    </w:rPr>
  </w:style>
  <w:style w:type="paragraph" w:styleId="ListContinue2">
    <w:name w:val="List Continue 2"/>
    <w:basedOn w:val="Normal"/>
    <w:uiPriority w:val="99"/>
    <w:unhideWhenUsed/>
    <w:rsid w:val="0029639D"/>
    <w:pPr>
      <w:spacing w:after="120"/>
      <w:ind w:left="720"/>
      <w:contextualSpacing/>
    </w:pPr>
    <w:rPr>
      <w:rFonts w:ascii="Segoe UI" w:hAnsi="Segoe UI"/>
      <w:color w:val="000000"/>
    </w:rPr>
  </w:style>
  <w:style w:type="paragraph" w:styleId="ListContinue3">
    <w:name w:val="List Continue 3"/>
    <w:basedOn w:val="Normal"/>
    <w:uiPriority w:val="99"/>
    <w:unhideWhenUsed/>
    <w:rsid w:val="0029639D"/>
    <w:pPr>
      <w:spacing w:after="120"/>
      <w:ind w:left="1080"/>
      <w:contextualSpacing/>
    </w:pPr>
    <w:rPr>
      <w:rFonts w:ascii="Segoe UI" w:hAnsi="Segoe U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egoe UI" w:hAnsi="Segoe UI"/>
      <w:color w:val="000000"/>
      <w:sz w:val="20"/>
      <w:szCs w:val="20"/>
    </w:rPr>
  </w:style>
  <w:style w:type="character" w:customStyle="1" w:styleId="MacroTextChar">
    <w:name w:val="Macro Text Char"/>
    <w:basedOn w:val="DefaultParagraphFont"/>
    <w:link w:val="MacroText"/>
    <w:uiPriority w:val="99"/>
    <w:rsid w:val="0029639D"/>
    <w:rPr>
      <w:rFonts w:ascii="Segoe UI" w:hAnsi="Segoe UI"/>
      <w:sz w:val="20"/>
      <w:szCs w:val="20"/>
    </w:rPr>
  </w:style>
  <w:style w:type="paragraph" w:styleId="Quote">
    <w:name w:val="Quote"/>
    <w:basedOn w:val="Normal"/>
    <w:next w:val="Normal"/>
    <w:link w:val="QuoteChar"/>
    <w:uiPriority w:val="29"/>
    <w:qFormat/>
    <w:rsid w:val="00FC693F"/>
    <w:rPr>
      <w:rFonts w:ascii="Segoe UI" w:hAnsi="Segoe U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Segoe UI" w:hAnsi="Segoe U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Segoe UI" w:hAnsi="Segoe U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Segoe UI" w:hAnsi="Segoe U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Segoe UI" w:hAnsi="Segoe U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Segoe UI" w:hAnsi="Segoe U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Segoe UI" w:hAnsi="Segoe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egoe UI" w:hAnsi="Segoe U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egoe UI" w:hAnsi="Segoe U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Segoe UI" w:hAnsi="Segoe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Segoe UI" w:hAnsi="Segoe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Segoe UI" w:hAnsi="Segoe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Segoe UI" w:hAnsi="Segoe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Segoe UI" w:hAnsi="Segoe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Segoe UI" w:hAnsi="Segoe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Segoe UI" w:hAnsi="Segoe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Segoe UI" w:hAnsi="Segoe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Segoe UI" w:hAnsi="Segoe UI"/>
        <w:b/>
        <w:bCs/>
      </w:rPr>
    </w:tblStylePr>
    <w:tblStylePr w:type="lastCol">
      <w:rPr>
        <w:rFonts w:cstheme="majorBidi" w:ascii="Segoe UI" w:hAnsi="Segoe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Segoe UI" w:hAnsi="Segoe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Segoe UI" w:hAnsi="Segoe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and impact planner</dc:title>
  <dc:subject>Year A · lesson resource</dc:subject>
  <dc:creator>Lesson resource</dc:creator>
  <cp:keywords/>
  <dc:description>generated by python-docx</dc:description>
  <cp:lastModifiedBy>Lesson resource</cp:lastModifiedBy>
  <cp:revision>1</cp:revision>
  <dcterms:created xsi:type="dcterms:W3CDTF">2013-12-23T23:15:00Z</dcterms:created>
  <dcterms:modified xsi:type="dcterms:W3CDTF">2013-12-23T23:15:00Z</dcterms:modified>
  <cp:category/>
</cp:coreProperties>
</file>