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planner</w:t>
      </w:r>
    </w:p>
    <w:p>
      <w:r>
        <w:rPr>
          <w:b/>
        </w:rPr>
        <w:t>Build and improve a CV</w:t>
      </w:r>
    </w:p>
    <w:p>
      <w:r>
        <w:rPr>
          <w:b w:val="0"/>
        </w:rPr>
        <w:t>Week beginning 2 November 2026 · one 40-minute lesson</w:t>
      </w:r>
    </w:p>
    <w:p>
      <w:r>
        <w:rPr>
          <w:b w:val="0"/>
        </w:rPr>
        <w:t>Teaching date: __________________   Staff role: __________________</w:t>
      </w:r>
    </w:p>
    <w:p>
      <w:pPr>
        <w:pStyle w:val="Heading1"/>
      </w:pPr>
      <w:r>
        <w:rPr>
          <w:b w:val="0"/>
        </w:rPr>
        <w:t>Exact scheme cells</w:t>
      </w:r>
    </w:p>
    <w:p>
      <w:r>
        <w:rPr>
          <w:b w:val="0"/>
        </w:rPr>
        <w:t>LAUNCH Weekly - Autumn!C109</w:t>
        <w:br/>
        <w:t>Write &amp; refine a CV (links English/Computing).</w:t>
      </w:r>
    </w:p>
    <w:p>
      <w:r>
        <w:rPr>
          <w:b w:val="0"/>
        </w:rPr>
        <w:t>LAUNCH - Autumn!D19</w:t>
        <w:br/>
        <w:t>Applications, CVs &amp; digital footprint</w:t>
      </w:r>
    </w:p>
    <w:p>
      <w:r>
        <w:rPr>
          <w:b w:val="0"/>
        </w:rPr>
        <w:t>LAUNCH - Autumn!I19</w:t>
        <w:br/>
        <w:t>[AWARD] [QUAL] (Entry 2/3), [QUAL] / [QUAL]; [QUAL].</w:t>
      </w:r>
    </w:p>
    <w:p>
      <w:r>
        <w:rPr>
          <w:b w:val="0"/>
        </w:rPr>
        <w:t>LAUNCH - Autumn!J19</w:t>
        <w:br/>
        <w:t>F: draft CV feedback.  S: completed CV + mock-interview assessment (Dec data drop).</w:t>
      </w:r>
    </w:p>
    <w:p>
      <w:r>
        <w:rPr>
          <w:b w:val="0"/>
        </w:rPr>
        <w:t>The unit and assessment wording is retained. Names and award/product labels are masked in both editions under the current order. This lesson contributes evidence; it does not by itself complete an award.</w:t>
      </w:r>
    </w:p>
    <w:p>
      <w:pPr>
        <w:pStyle w:val="Heading1"/>
      </w:pPr>
      <w:r>
        <w:rPr>
          <w:b w:val="0"/>
        </w:rPr>
        <w:t>Purpose and success checks</w:t>
      </w:r>
    </w:p>
    <w:p>
      <w:r>
        <w:rPr>
          <w:b w:val="0"/>
        </w:rPr>
        <w:t>How can I show what I can do?</w:t>
      </w:r>
    </w:p>
    <w:p>
      <w:r>
        <w:rPr>
          <w:b w:val="0"/>
        </w:rPr>
        <w:t>I can choose a skill that fits a role. I can support it with a true example. I can improve my CV after feedback.</w:t>
      </w:r>
    </w:p>
    <w:p>
      <w:r>
        <w:rPr>
          <w:b w:val="0"/>
        </w:rPr>
        <w:t>CAREERS-LAUNCH-A2-W1-E1: An individual classroom CV draft with role, profile, skills and true examples, learning and experience status; one feedback-led revision, response mode, support and unresolved gaps are recorded.</w:t>
      </w:r>
    </w:p>
    <w:p>
      <w:pPr>
        <w:pStyle w:val="Heading1"/>
      </w:pPr>
      <w:r>
        <w:rPr>
          <w:b w:val="0"/>
        </w:rPr>
        <w:t>Before pupils arrive</w:t>
      </w:r>
    </w:p>
    <w:p>
      <w:r>
        <w:rPr>
          <w:b w:val="0"/>
        </w:rPr>
        <w:t>Print the practice vacancy, CV sheet, six cards and word mat. Gather existing learner work only where available. Agree a read-aloud, scribed or usual communication-aid route. Use paper or an approved offline editor; no login, public upload or real application is required.</w:t>
      </w:r>
    </w:p>
    <w:p>
      <w:r>
        <w:rPr>
          <w:b w:val="0"/>
        </w:rPr>
        <w:t>Offer processing time, a quiet start and the usual communication support. Capture each learner’s own work. Read the Staff Answers before teaching.</w:t>
      </w:r>
    </w:p>
    <w:p>
      <w:pPr>
        <w:pStyle w:val="Heading1"/>
      </w:pPr>
      <w:r>
        <w:rPr>
          <w:b w:val="0"/>
        </w:rPr>
        <w:t>Calendar and continuity</w:t>
      </w:r>
    </w:p>
    <w:p>
      <w:r>
        <w:rPr>
          <w:b w:val="0"/>
        </w:rPr>
        <w:t>Week beginning 2 November 2026. One lesson per week on this line. One 40-minute Careers lesson per week on the owner’s line. No teaching day or clock slot inferred. Week 1 runs 2–6 November; 2 November is the previously notified training day, so pupil teaching is 3–6 November. Week 2 runs 9–13 November. Staff enter the actual teaching date.</w:t>
      </w:r>
    </w:p>
    <w:p>
      <w:r>
        <w:rPr>
          <w:b w:val="0"/>
        </w:rPr>
        <w:t>Staff enter the actual teaching date above. Record any missing prior work honestly; no attainment is assumed.</w:t>
      </w:r>
    </w:p>
    <w:p>
      <w:pPr>
        <w:pStyle w:val="Heading1"/>
      </w:pPr>
      <w:r>
        <w:rPr>
          <w:b w:val="0"/>
        </w:rPr>
        <w:t>Where this leads</w:t>
      </w:r>
    </w:p>
    <w:p>
      <w:r>
        <w:rPr>
          <w:b w:val="0"/>
        </w:rPr>
        <w:t>This helps me explain my skills when I apply for work or training.</w:t>
      </w:r>
    </w:p>
    <w:p>
      <w:r>
        <w:br w:type="page"/>
      </w:r>
    </w:p>
    <w:p>
      <w:pPr>
        <w:pStyle w:val="Heading1"/>
      </w:pPr>
      <w:r>
        <w:rPr>
          <w:b w:val="0"/>
        </w:rPr>
        <w:t>Forty minute sequence</w:t>
      </w:r>
    </w:p>
    <w:tbl>
      <w:tblPr>
        <w:tblStyle w:val="TableGrid"/>
        <w:tblW w:type="auto" w:w="0"/>
        <w:tblLayout w:type="fixed"/>
        <w:tblLook w:firstColumn="1" w:firstRow="1" w:lastColumn="0" w:lastRow="0" w:noHBand="0" w:noVBand="1" w:val="04A0"/>
      </w:tblPr>
      <w:tblGrid>
        <w:gridCol w:w="936"/>
        <w:gridCol w:w="648"/>
        <w:gridCol w:w="8352"/>
      </w:tblGrid>
      <w:tr>
        <w:trPr>
          <w:tblHeader/>
          <w:cantSplit/>
        </w:trPr>
        <w:tc>
          <w:tcPr>
            <w:tcW w:type="dxa" w:w="936"/>
          </w:tcPr>
          <w:p>
            <w:pPr>
              <w:spacing w:after="80" w:before="60"/>
            </w:pPr>
            <w:r>
              <w:rPr>
                <w:b/>
                <w:sz w:val="20"/>
              </w:rPr>
              <w:t>Slide</w:t>
            </w:r>
          </w:p>
        </w:tc>
        <w:tc>
          <w:tcPr>
            <w:tcW w:type="dxa" w:w="648"/>
          </w:tcPr>
          <w:p>
            <w:pPr>
              <w:spacing w:after="80" w:before="60"/>
            </w:pPr>
            <w:r>
              <w:rPr>
                <w:b/>
                <w:sz w:val="20"/>
              </w:rPr>
              <w:t>Min</w:t>
            </w:r>
          </w:p>
        </w:tc>
        <w:tc>
          <w:tcPr>
            <w:tcW w:type="dxa" w:w="8352"/>
          </w:tcPr>
          <w:p>
            <w:pPr>
              <w:spacing w:after="80" w:before="60"/>
            </w:pPr>
            <w:r>
              <w:rPr>
                <w:b/>
                <w:sz w:val="20"/>
              </w:rPr>
              <w:t>Action</w:t>
            </w:r>
          </w:p>
        </w:tc>
      </w:tr>
      <w:tr>
        <w:trPr>
          <w:cantSplit/>
        </w:trPr>
        <w:tc>
          <w:tcPr>
            <w:tcW w:type="dxa" w:w="936"/>
          </w:tcPr>
          <w:p>
            <w:pPr>
              <w:spacing w:after="80" w:before="60"/>
            </w:pPr>
            <w:r>
              <w:rPr>
                <w:b w:val="0"/>
                <w:sz w:val="20"/>
              </w:rPr>
              <w:t>1</w:t>
            </w:r>
          </w:p>
        </w:tc>
        <w:tc>
          <w:tcPr>
            <w:tcW w:type="dxa" w:w="648"/>
          </w:tcPr>
          <w:p>
            <w:pPr>
              <w:spacing w:after="80" w:before="60"/>
            </w:pPr>
            <w:r>
              <w:rPr>
                <w:b w:val="0"/>
                <w:sz w:val="20"/>
              </w:rPr>
              <w:t>0</w:t>
            </w:r>
          </w:p>
        </w:tc>
        <w:tc>
          <w:tcPr>
            <w:tcW w:type="dxa" w:w="8352"/>
          </w:tcPr>
          <w:p>
            <w:pPr>
              <w:spacing w:after="80" w:before="60"/>
            </w:pPr>
            <w:r>
              <w:rPr>
                <w:b w:val="0"/>
                <w:sz w:val="20"/>
              </w:rPr>
              <w:t>Open title and big question before timing.</w:t>
            </w:r>
          </w:p>
        </w:tc>
      </w:tr>
      <w:tr>
        <w:trPr>
          <w:cantSplit/>
        </w:trPr>
        <w:tc>
          <w:tcPr>
            <w:tcW w:type="dxa" w:w="936"/>
          </w:tcPr>
          <w:p>
            <w:pPr>
              <w:spacing w:after="80" w:before="60"/>
            </w:pPr>
            <w:r>
              <w:rPr>
                <w:b w:val="0"/>
                <w:sz w:val="20"/>
              </w:rPr>
              <w:t>2</w:t>
            </w:r>
          </w:p>
        </w:tc>
        <w:tc>
          <w:tcPr>
            <w:tcW w:type="dxa" w:w="648"/>
          </w:tcPr>
          <w:p>
            <w:pPr>
              <w:spacing w:after="80" w:before="60"/>
            </w:pPr>
            <w:r>
              <w:rPr>
                <w:b w:val="0"/>
                <w:sz w:val="20"/>
              </w:rPr>
              <w:t>4</w:t>
            </w:r>
          </w:p>
        </w:tc>
        <w:tc>
          <w:tcPr>
            <w:tcW w:type="dxa" w:w="8352"/>
          </w:tcPr>
          <w:p>
            <w:pPr>
              <w:spacing w:after="80" w:before="60"/>
            </w:pPr>
            <w:r>
              <w:rPr>
                <w:b w:val="0"/>
                <w:sz w:val="20"/>
              </w:rPr>
              <w:t>Private check-in, quiet start and support choice.</w:t>
            </w:r>
          </w:p>
        </w:tc>
      </w:tr>
      <w:tr>
        <w:trPr>
          <w:cantSplit/>
        </w:trPr>
        <w:tc>
          <w:tcPr>
            <w:tcW w:type="dxa" w:w="936"/>
          </w:tcPr>
          <w:p>
            <w:pPr>
              <w:spacing w:after="80" w:before="60"/>
            </w:pPr>
            <w:r>
              <w:rPr>
                <w:b w:val="0"/>
                <w:sz w:val="20"/>
              </w:rPr>
              <w:t>3</w:t>
            </w:r>
          </w:p>
        </w:tc>
        <w:tc>
          <w:tcPr>
            <w:tcW w:type="dxa" w:w="648"/>
          </w:tcPr>
          <w:p>
            <w:pPr>
              <w:spacing w:after="80" w:before="60"/>
            </w:pPr>
            <w:r>
              <w:rPr>
                <w:b w:val="0"/>
                <w:sz w:val="20"/>
              </w:rPr>
              <w:t>2</w:t>
            </w:r>
          </w:p>
        </w:tc>
        <w:tc>
          <w:tcPr>
            <w:tcW w:type="dxa" w:w="8352"/>
          </w:tcPr>
          <w:p>
            <w:pPr>
              <w:spacing w:after="80" w:before="60"/>
            </w:pPr>
            <w:r>
              <w:rPr>
                <w:b w:val="0"/>
                <w:sz w:val="20"/>
              </w:rPr>
              <w:t>Read the diagram; hear one clue or question.</w:t>
            </w:r>
          </w:p>
        </w:tc>
      </w:tr>
      <w:tr>
        <w:trPr>
          <w:cantSplit/>
        </w:trPr>
        <w:tc>
          <w:tcPr>
            <w:tcW w:type="dxa" w:w="936"/>
          </w:tcPr>
          <w:p>
            <w:pPr>
              <w:spacing w:after="80" w:before="60"/>
            </w:pPr>
            <w:r>
              <w:rPr>
                <w:b w:val="0"/>
                <w:sz w:val="20"/>
              </w:rPr>
              <w:t>4</w:t>
            </w:r>
          </w:p>
        </w:tc>
        <w:tc>
          <w:tcPr>
            <w:tcW w:type="dxa" w:w="648"/>
          </w:tcPr>
          <w:p>
            <w:pPr>
              <w:spacing w:after="80" w:before="60"/>
            </w:pPr>
            <w:r>
              <w:rPr>
                <w:b w:val="0"/>
                <w:sz w:val="20"/>
              </w:rPr>
              <w:t>0</w:t>
            </w:r>
          </w:p>
        </w:tc>
        <w:tc>
          <w:tcPr>
            <w:tcW w:type="dxa" w:w="8352"/>
          </w:tcPr>
          <w:p>
            <w:pPr>
              <w:spacing w:after="80" w:before="60"/>
            </w:pPr>
            <w:r>
              <w:rPr>
                <w:b w:val="0"/>
                <w:sz w:val="20"/>
              </w:rPr>
              <w:t>Read the exact objective and success checks.</w:t>
            </w:r>
          </w:p>
        </w:tc>
      </w:tr>
      <w:tr>
        <w:trPr>
          <w:cantSplit/>
        </w:trPr>
        <w:tc>
          <w:tcPr>
            <w:tcW w:type="dxa" w:w="936"/>
          </w:tcPr>
          <w:p>
            <w:pPr>
              <w:spacing w:after="80" w:before="60"/>
            </w:pPr>
            <w:r>
              <w:rPr>
                <w:b w:val="0"/>
                <w:sz w:val="20"/>
              </w:rPr>
              <w:t>5</w:t>
            </w:r>
          </w:p>
        </w:tc>
        <w:tc>
          <w:tcPr>
            <w:tcW w:type="dxa" w:w="648"/>
          </w:tcPr>
          <w:p>
            <w:pPr>
              <w:spacing w:after="80" w:before="60"/>
            </w:pPr>
            <w:r>
              <w:rPr>
                <w:b w:val="0"/>
                <w:sz w:val="20"/>
              </w:rPr>
              <w:t>5</w:t>
            </w:r>
          </w:p>
        </w:tc>
        <w:tc>
          <w:tcPr>
            <w:tcW w:type="dxa" w:w="8352"/>
          </w:tcPr>
          <w:p>
            <w:pPr>
              <w:spacing w:after="80" w:before="60"/>
            </w:pPr>
            <w:r>
              <w:rPr>
                <w:b w:val="0"/>
                <w:sz w:val="20"/>
              </w:rPr>
              <w:t>Model the six lines; explain the reason for each.</w:t>
            </w:r>
          </w:p>
        </w:tc>
      </w:tr>
      <w:tr>
        <w:trPr>
          <w:cantSplit/>
        </w:trPr>
        <w:tc>
          <w:tcPr>
            <w:tcW w:type="dxa" w:w="936"/>
          </w:tcPr>
          <w:p>
            <w:pPr>
              <w:spacing w:after="80" w:before="60"/>
            </w:pPr>
            <w:r>
              <w:rPr>
                <w:b w:val="0"/>
                <w:sz w:val="20"/>
              </w:rPr>
              <w:t>6</w:t>
            </w:r>
          </w:p>
        </w:tc>
        <w:tc>
          <w:tcPr>
            <w:tcW w:type="dxa" w:w="648"/>
          </w:tcPr>
          <w:p>
            <w:pPr>
              <w:spacing w:after="80" w:before="60"/>
            </w:pPr>
            <w:r>
              <w:rPr>
                <w:b w:val="0"/>
                <w:sz w:val="20"/>
              </w:rPr>
              <w:t>5</w:t>
            </w:r>
          </w:p>
        </w:tc>
        <w:tc>
          <w:tcPr>
            <w:tcW w:type="dxa" w:w="8352"/>
          </w:tcPr>
          <w:p>
            <w:pPr>
              <w:spacing w:after="80" w:before="60"/>
            </w:pPr>
            <w:r>
              <w:rPr>
                <w:b w:val="0"/>
                <w:sz w:val="20"/>
              </w:rPr>
              <w:t>Ask for a hinge answer and reason; reteach if needed.</w:t>
            </w:r>
          </w:p>
        </w:tc>
      </w:tr>
      <w:tr>
        <w:trPr>
          <w:cantSplit/>
        </w:trPr>
        <w:tc>
          <w:tcPr>
            <w:tcW w:type="dxa" w:w="936"/>
          </w:tcPr>
          <w:p>
            <w:pPr>
              <w:spacing w:after="80" w:before="60"/>
            </w:pPr>
            <w:r>
              <w:rPr>
                <w:b w:val="0"/>
                <w:sz w:val="20"/>
              </w:rPr>
              <w:t>7</w:t>
            </w:r>
          </w:p>
        </w:tc>
        <w:tc>
          <w:tcPr>
            <w:tcW w:type="dxa" w:w="648"/>
          </w:tcPr>
          <w:p>
            <w:pPr>
              <w:spacing w:after="80" w:before="60"/>
            </w:pPr>
            <w:r>
              <w:rPr>
                <w:b w:val="0"/>
                <w:sz w:val="20"/>
              </w:rPr>
              <w:t>12</w:t>
            </w:r>
          </w:p>
        </w:tc>
        <w:tc>
          <w:tcPr>
            <w:tcW w:type="dxa" w:w="8352"/>
          </w:tcPr>
          <w:p>
            <w:pPr>
              <w:spacing w:after="80" w:before="60"/>
            </w:pPr>
            <w:r>
              <w:rPr>
                <w:b w:val="0"/>
                <w:sz w:val="20"/>
              </w:rPr>
              <w:t>Use the six cards and the Supported/Independent/Aspire routes.</w:t>
            </w:r>
          </w:p>
        </w:tc>
      </w:tr>
      <w:tr>
        <w:trPr>
          <w:cantSplit/>
        </w:trPr>
        <w:tc>
          <w:tcPr>
            <w:tcW w:type="dxa" w:w="936"/>
          </w:tcPr>
          <w:p>
            <w:pPr>
              <w:spacing w:after="80" w:before="60"/>
            </w:pPr>
            <w:r>
              <w:rPr>
                <w:b w:val="0"/>
                <w:sz w:val="20"/>
              </w:rPr>
              <w:t>8</w:t>
            </w:r>
          </w:p>
        </w:tc>
        <w:tc>
          <w:tcPr>
            <w:tcW w:type="dxa" w:w="648"/>
          </w:tcPr>
          <w:p>
            <w:pPr>
              <w:spacing w:after="80" w:before="60"/>
            </w:pPr>
            <w:r>
              <w:rPr>
                <w:b w:val="0"/>
                <w:sz w:val="20"/>
              </w:rPr>
              <w:t>6</w:t>
            </w:r>
          </w:p>
        </w:tc>
        <w:tc>
          <w:tcPr>
            <w:tcW w:type="dxa" w:w="8352"/>
          </w:tcPr>
          <w:p>
            <w:pPr>
              <w:spacing w:after="80" w:before="60"/>
            </w:pPr>
            <w:r>
              <w:rPr>
                <w:b w:val="0"/>
                <w:sz w:val="20"/>
              </w:rPr>
              <w:t>Complete the individual two-page evidence record.</w:t>
            </w:r>
          </w:p>
        </w:tc>
      </w:tr>
      <w:tr>
        <w:trPr>
          <w:cantSplit/>
        </w:trPr>
        <w:tc>
          <w:tcPr>
            <w:tcW w:type="dxa" w:w="936"/>
          </w:tcPr>
          <w:p>
            <w:pPr>
              <w:spacing w:after="80" w:before="60"/>
            </w:pPr>
            <w:r>
              <w:rPr>
                <w:b w:val="0"/>
                <w:sz w:val="20"/>
              </w:rPr>
              <w:t>9</w:t>
            </w:r>
          </w:p>
        </w:tc>
        <w:tc>
          <w:tcPr>
            <w:tcW w:type="dxa" w:w="648"/>
          </w:tcPr>
          <w:p>
            <w:pPr>
              <w:spacing w:after="80" w:before="60"/>
            </w:pPr>
            <w:r>
              <w:rPr>
                <w:b w:val="0"/>
                <w:sz w:val="20"/>
              </w:rPr>
              <w:t>4</w:t>
            </w:r>
          </w:p>
        </w:tc>
        <w:tc>
          <w:tcPr>
            <w:tcW w:type="dxa" w:w="8352"/>
          </w:tcPr>
          <w:p>
            <w:pPr>
              <w:spacing w:after="80" w:before="60"/>
            </w:pPr>
            <w:r>
              <w:rPr>
                <w:b w:val="0"/>
                <w:sz w:val="20"/>
              </w:rPr>
              <w:t>Check ownership, support, response and next step.</w:t>
            </w:r>
          </w:p>
        </w:tc>
      </w:tr>
      <w:tr>
        <w:trPr>
          <w:cantSplit/>
        </w:trPr>
        <w:tc>
          <w:tcPr>
            <w:tcW w:type="dxa" w:w="936"/>
          </w:tcPr>
          <w:p>
            <w:pPr>
              <w:spacing w:after="80" w:before="60"/>
            </w:pPr>
            <w:r>
              <w:rPr>
                <w:b w:val="0"/>
                <w:sz w:val="20"/>
              </w:rPr>
              <w:t>10</w:t>
            </w:r>
          </w:p>
        </w:tc>
        <w:tc>
          <w:tcPr>
            <w:tcW w:type="dxa" w:w="648"/>
          </w:tcPr>
          <w:p>
            <w:pPr>
              <w:spacing w:after="80" w:before="60"/>
            </w:pPr>
            <w:r>
              <w:rPr>
                <w:b w:val="0"/>
                <w:sz w:val="20"/>
              </w:rPr>
              <w:t>2</w:t>
            </w:r>
          </w:p>
        </w:tc>
        <w:tc>
          <w:tcPr>
            <w:tcW w:type="dxa" w:w="8352"/>
          </w:tcPr>
          <w:p>
            <w:pPr>
              <w:spacing w:after="80" w:before="60"/>
            </w:pPr>
            <w:r>
              <w:rPr>
                <w:b w:val="0"/>
                <w:sz w:val="20"/>
              </w:rPr>
              <w:t>Take a short quiet exit response.</w:t>
            </w:r>
          </w:p>
        </w:tc>
      </w:tr>
      <w:tr>
        <w:trPr>
          <w:cantSplit/>
        </w:trPr>
        <w:tc>
          <w:tcPr>
            <w:tcW w:type="dxa" w:w="936"/>
          </w:tcPr>
          <w:p>
            <w:pPr>
              <w:spacing w:after="80" w:before="60"/>
            </w:pPr>
            <w:r>
              <w:rPr>
                <w:b w:val="0"/>
                <w:sz w:val="20"/>
              </w:rPr>
              <w:t>11</w:t>
            </w:r>
          </w:p>
        </w:tc>
        <w:tc>
          <w:tcPr>
            <w:tcW w:type="dxa" w:w="648"/>
          </w:tcPr>
          <w:p>
            <w:pPr>
              <w:spacing w:after="80" w:before="60"/>
            </w:pPr>
            <w:r>
              <w:rPr>
                <w:b w:val="0"/>
                <w:sz w:val="20"/>
              </w:rPr>
              <w:t>0</w:t>
            </w:r>
          </w:p>
        </w:tc>
        <w:tc>
          <w:tcPr>
            <w:tcW w:type="dxa" w:w="8352"/>
          </w:tcPr>
          <w:p>
            <w:pPr>
              <w:spacing w:after="80" w:before="60"/>
            </w:pPr>
            <w:r>
              <w:rPr>
                <w:b w:val="0"/>
                <w:sz w:val="20"/>
              </w:rPr>
              <w:t>Use the vocabulary mat throughout.</w:t>
            </w:r>
          </w:p>
        </w:tc>
      </w:tr>
      <w:tr>
        <w:trPr>
          <w:cantSplit/>
        </w:trPr>
        <w:tc>
          <w:tcPr>
            <w:tcW w:type="dxa" w:w="936"/>
          </w:tcPr>
          <w:p>
            <w:pPr>
              <w:spacing w:after="80" w:before="60"/>
            </w:pPr>
            <w:r>
              <w:rPr>
                <w:b w:val="0"/>
                <w:sz w:val="20"/>
              </w:rPr>
              <w:t>12</w:t>
            </w:r>
          </w:p>
        </w:tc>
        <w:tc>
          <w:tcPr>
            <w:tcW w:type="dxa" w:w="648"/>
          </w:tcPr>
          <w:p>
            <w:pPr>
              <w:spacing w:after="80" w:before="60"/>
            </w:pPr>
            <w:r>
              <w:rPr>
                <w:b w:val="0"/>
                <w:sz w:val="20"/>
              </w:rPr>
              <w:t>0</w:t>
            </w:r>
          </w:p>
        </w:tc>
        <w:tc>
          <w:tcPr>
            <w:tcW w:type="dxa" w:w="8352"/>
          </w:tcPr>
          <w:p>
            <w:pPr>
              <w:spacing w:after="80" w:before="60"/>
            </w:pPr>
            <w:r>
              <w:rPr>
                <w:b w:val="0"/>
                <w:sz w:val="20"/>
              </w:rPr>
              <w:t>Hidden reference for adults.</w:t>
            </w:r>
          </w:p>
        </w:tc>
      </w:tr>
    </w:tbl>
    <w:p>
      <w:pPr>
        <w:pStyle w:val="Heading1"/>
      </w:pPr>
      <w:r>
        <w:rPr>
          <w:b w:val="0"/>
        </w:rPr>
        <w:t>Hinge and reteach</w:t>
      </w:r>
    </w:p>
    <w:p>
      <w:r>
        <w:rPr>
          <w:b w:val="0"/>
        </w:rPr>
        <w:t>B gives an action linked to teamwork, but it belongs in a learner CV only if true for that learner. A is vague and absolute; C is dishonest. Ask what the learner actually did and what help they used. If they choose A or C, contrast an unsupported claim with a real action and recheck using a different skill.</w:t>
      </w:r>
    </w:p>
    <w:p>
      <w:pPr>
        <w:pStyle w:val="Heading1"/>
      </w:pPr>
      <w:r>
        <w:rPr>
          <w:b w:val="0"/>
        </w:rPr>
        <w:t>Access and practice</w:t>
      </w:r>
    </w:p>
    <w:p>
      <w:r>
        <w:rPr>
          <w:b w:val="0"/>
        </w:rPr>
        <w:t>Supported: select a real example with staff. Independent: draft a short CV using evidence. Aspire: tailor two examples to the role.</w:t>
      </w:r>
    </w:p>
    <w:p>
      <w:r>
        <w:rPr>
          <w:b w:val="0"/>
        </w:rPr>
        <w:t>Model one CV line using the labelled adult example. During 12-minute practice, pupils draft their own profile, skill and experience entries; give one NS+ prompt. The six-minute capture completes a learner revision and notes support or gaps. Supported means scaffolded choice or exact scribing, not an adult supplying achievements.</w:t>
      </w:r>
    </w:p>
    <w:p>
      <w:r>
        <w:rPr>
          <w:b w:val="0"/>
        </w:rPr>
        <w:t>Begin evidence during practice and finish during capture. Accept speech, pointing, drawing, writing or usual AAC. Scribe exact words without supplying the assessed reason. No forced pair work or public performance.</w:t>
      </w:r>
    </w:p>
    <w:p>
      <w:r>
        <w:br w:type="page"/>
      </w:r>
    </w:p>
    <w:p>
      <w:pPr>
        <w:pStyle w:val="Heading1"/>
      </w:pPr>
      <w:r>
        <w:rPr>
          <w:b w:val="0"/>
        </w:rPr>
        <w:t>Safe teaching evidence and learner voice</w:t>
      </w:r>
    </w:p>
    <w:p>
      <w:pPr>
        <w:pStyle w:val="Heading1"/>
      </w:pPr>
      <w:r>
        <w:rPr>
          <w:b w:val="0"/>
        </w:rPr>
        <w:t>Boundaries</w:t>
      </w:r>
    </w:p>
    <w:p>
      <w:r>
        <w:rPr>
          <w:b w:val="0"/>
        </w:rPr>
        <w:t>No names of pupils, staff, schools, products or platforms in this pack or classroom practice CV. Use learner ID and role labels. Do not collect addresses, phone numbers, private email, dates of birth or referee details. Do not infer achievements or pressure learners to disclose personal history. Keep real evidence in approved staff storage; record gaps openly.</w:t>
      </w:r>
    </w:p>
    <w:p>
      <w:pPr>
        <w:pStyle w:val="Heading1"/>
      </w:pPr>
      <w:r>
        <w:rPr>
          <w:b w:val="0"/>
        </w:rPr>
        <w:t>Assessment and feedback</w:t>
      </w:r>
    </w:p>
    <w:p>
      <w:r>
        <w:rPr>
          <w:b w:val="0"/>
        </w:rPr>
        <w:t>Check a short CV draft is produced, not just a card-sort. Require a role or goal, a brief profile, at least one relevant skill with an authentic example, and honest learning/experience entries. Preserve the original and the learner’s revision after one specific prompt. A missing history or qualification stays to check. The template is deliberately anonymous and incomplete for real-world submission: private contact/referee details are not collected here. Do not assess neat handwriting as a proxy for a careers skill.</w:t>
      </w:r>
    </w:p>
    <w:p>
      <w:r>
        <w:rPr>
          <w:b w:val="0"/>
        </w:rPr>
        <w:t>Retain actual work, response mode and support. Use VF · WS · I · NS+ (Yellow Box) · // (self-edit) · ? (read back) · R (responded) · E (evidence in the school’s evidence record). R requires Voice, Audience, an NS+ prompt and the learner’s response in their own colour. Record E only after evidence is banked. Blank forms and adult models are not completed learner evidence.</w:t>
      </w:r>
    </w:p>
    <w:p>
      <w:pPr>
        <w:pStyle w:val="Heading1"/>
      </w:pPr>
      <w:r>
        <w:rPr>
          <w:b w:val="0"/>
        </w:rPr>
        <w:t>Lundy moments</w:t>
      </w:r>
    </w:p>
    <w:p>
      <w:r>
        <w:rPr>
          <w:b w:val="0"/>
        </w:rPr>
        <w:t>Space: calm, accessible participation. Voice: a choice, reason or help request. Audience: the adult listens or reads and replies. Influence: record the support or next-step change made in response.</w:t>
      </w:r>
    </w:p>
    <w:p>
      <w:pPr>
        <w:pStyle w:val="Heading1"/>
      </w:pPr>
      <w:r>
        <w:rPr>
          <w:b w:val="0"/>
        </w:rPr>
        <w:t>Offer to the Communication portfolio</w:t>
      </w:r>
    </w:p>
    <w:p>
      <w:r>
        <w:rPr>
          <w:b w:val="0"/>
        </w:rPr>
        <w:t>Explain a relevant skill, listen to feedback and revise a written or spoken statement. The receiving teacher maps authentic responses to their own portfolio. The receiving teacher maps authentic responses to their own portfolio; no communication criteria are assigned here.</w:t>
      </w:r>
    </w:p>
    <w:p>
      <w:pPr>
        <w:pStyle w:val="Heading1"/>
      </w:pPr>
      <w:r>
        <w:rPr>
          <w:b w:val="0"/>
        </w:rPr>
        <w:t>Reflection and provenance</w:t>
      </w:r>
    </w:p>
    <w:p>
      <w:r>
        <w:rPr>
          <w:b w:val="0"/>
        </w:rPr>
        <w:t>Next teaching need: __________________________________________________</w:t>
        <w:br/>
        <w:t>Learner request and change made: _______________________________________</w:t>
      </w:r>
    </w:p>
    <w:p>
      <w:r>
        <w:rPr>
          <w:b w:val="0"/>
        </w:rPr>
        <w:t>Sources: LAUNCH workbook, source revision 9ed44bdf, cells above, verified on main by blob/hash. The weekly block framework and assessment are in D102/F102. Calendar and lesson count: owner order. Examples and diagrams are authored. Source URLs and limits: FACTS_LEDGER.md. No registration or criteria are inferred.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CAREERS-LAUNCH-A2-W01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[SYS]</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and cover planner</dc:title>
  <dc:subject>CAREERS-LAUNCH-A2-W01</dc:subject>
  <dc:creator/>
  <cp:keywords/>
  <dc:description/>
  <cp:lastModifiedBy/>
  <cp:revision>1</cp:revision>
  <dcterms:created xsi:type="dcterms:W3CDTF">2026-10-24T00:00:00Z</dcterms:created>
  <dcterms:modified xsi:type="dcterms:W3CDTF">2026-10-24T00:00:00Z</dcterms:modified>
  <cp:category/>
</cp:coreProperties>
</file>