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rPr>
        <w:t>Teacher and cover planner</w:t>
      </w:r>
    </w:p>
    <w:p>
      <w:r>
        <w:rPr>
          <w:b/>
        </w:rPr>
        <w:t>Complete a practice application</w:t>
      </w:r>
    </w:p>
    <w:p>
      <w:r>
        <w:rPr>
          <w:b w:val="0"/>
        </w:rPr>
        <w:t>Week beginning 9 November 2026 · one 40-minute lesson</w:t>
      </w:r>
    </w:p>
    <w:p>
      <w:r>
        <w:rPr>
          <w:b w:val="0"/>
        </w:rPr>
        <w:t>Teaching date: __________________   Staff role: __________________</w:t>
      </w:r>
    </w:p>
    <w:p>
      <w:pPr>
        <w:pStyle w:val="Heading1"/>
      </w:pPr>
      <w:r>
        <w:rPr>
          <w:b w:val="0"/>
        </w:rPr>
        <w:t>Exact scheme cells</w:t>
      </w:r>
    </w:p>
    <w:p>
      <w:r>
        <w:rPr>
          <w:b w:val="0"/>
        </w:rPr>
        <w:t>LAUNCH Weekly - Autumn!C110</w:t>
        <w:br/>
        <w:t>Complete job applications.</w:t>
      </w:r>
    </w:p>
    <w:p>
      <w:r>
        <w:rPr>
          <w:b w:val="0"/>
        </w:rPr>
        <w:t>LAUNCH - Autumn!D19</w:t>
        <w:br/>
        <w:t>Applications, CVs &amp; digital footprint</w:t>
      </w:r>
    </w:p>
    <w:p>
      <w:r>
        <w:rPr>
          <w:b w:val="0"/>
        </w:rPr>
        <w:t>LAUNCH - Autumn!I19</w:t>
        <w:br/>
        <w:t>[AWARD] [QUAL] (Entry 2/3), [QUAL] / [QUAL]; [QUAL].</w:t>
      </w:r>
    </w:p>
    <w:p>
      <w:r>
        <w:rPr>
          <w:b w:val="0"/>
        </w:rPr>
        <w:t>LAUNCH - Autumn!J19</w:t>
        <w:br/>
        <w:t>F: draft CV feedback.  S: completed CV + mock-interview assessment (Dec data drop).</w:t>
      </w:r>
    </w:p>
    <w:p>
      <w:r>
        <w:rPr>
          <w:b w:val="0"/>
        </w:rPr>
        <w:t>The unit and assessment wording is retained. Names and award/product labels are masked in both editions under the current order. This lesson contributes evidence; it does not by itself complete an award.</w:t>
      </w:r>
    </w:p>
    <w:p>
      <w:pPr>
        <w:pStyle w:val="Heading1"/>
      </w:pPr>
      <w:r>
        <w:rPr>
          <w:b w:val="0"/>
        </w:rPr>
        <w:t>Purpose and success checks</w:t>
      </w:r>
    </w:p>
    <w:p>
      <w:r>
        <w:rPr>
          <w:b w:val="0"/>
        </w:rPr>
        <w:t>How can I answer a job form clearly?</w:t>
      </w:r>
    </w:p>
    <w:p>
      <w:r>
        <w:rPr>
          <w:b w:val="0"/>
        </w:rPr>
        <w:t>I can read what the form asks. I can match a true example to the role. I can check my form and name a gap.</w:t>
      </w:r>
    </w:p>
    <w:p>
      <w:r>
        <w:rPr>
          <w:b w:val="0"/>
        </w:rPr>
        <w:t>CAREERS-LAUNCH-A2-W2-E1: A completed anonymous practice application responding to a fictional role brief, with a learner-owned example, accuracy/relevance review, revision, support record and visible unresolved gaps; no submission or selection outcome is claimed.</w:t>
      </w:r>
    </w:p>
    <w:p>
      <w:pPr>
        <w:pStyle w:val="Heading1"/>
      </w:pPr>
      <w:r>
        <w:rPr>
          <w:b w:val="0"/>
        </w:rPr>
        <w:t>Before pupils arrive</w:t>
      </w:r>
    </w:p>
    <w:p>
      <w:r>
        <w:rPr>
          <w:b w:val="0"/>
        </w:rPr>
        <w:t>Bring the Week 1 CV draft if it exists; if missing, record the gap and use an actual class-task example elicited now. Print the practice form and vacancy brief. Prepare usual literacy/communication supports. No real employer, account, application portal or submission is involved.</w:t>
      </w:r>
    </w:p>
    <w:p>
      <w:r>
        <w:rPr>
          <w:b w:val="0"/>
        </w:rPr>
        <w:t>Offer processing time, a quiet start and the usual communication support. Capture each learner’s own work. Read the Staff Answers before teaching.</w:t>
      </w:r>
    </w:p>
    <w:p>
      <w:pPr>
        <w:pStyle w:val="Heading1"/>
      </w:pPr>
      <w:r>
        <w:rPr>
          <w:b w:val="0"/>
        </w:rPr>
        <w:t>Calendar and continuity</w:t>
      </w:r>
    </w:p>
    <w:p>
      <w:r>
        <w:rPr>
          <w:b w:val="0"/>
        </w:rPr>
        <w:t>Week beginning 9 November 2026. One lesson per week on this line. One 40-minute Careers lesson per week on the owner’s line. No teaching day or clock slot inferred. Week 1 runs 2–6 November; 2 November is the previously notified training day, so pupil teaching is 3–6 November. Week 2 runs 9–13 November. Staff enter the actual teaching date.</w:t>
      </w:r>
    </w:p>
    <w:p>
      <w:r>
        <w:rPr>
          <w:b w:val="0"/>
        </w:rPr>
        <w:t>Staff enter the actual teaching date above. Record any missing prior work honestly; no attainment is assumed.</w:t>
      </w:r>
    </w:p>
    <w:p>
      <w:pPr>
        <w:pStyle w:val="Heading1"/>
      </w:pPr>
      <w:r>
        <w:rPr>
          <w:b w:val="0"/>
        </w:rPr>
        <w:t>Where this leads</w:t>
      </w:r>
    </w:p>
    <w:p>
      <w:r>
        <w:rPr>
          <w:b w:val="0"/>
        </w:rPr>
        <w:t>This helps me give clear, truthful answers when I apply for work or training.</w:t>
      </w:r>
    </w:p>
    <w:p>
      <w:r>
        <w:br w:type="page"/>
      </w:r>
    </w:p>
    <w:p>
      <w:pPr>
        <w:pStyle w:val="Heading1"/>
      </w:pPr>
      <w:r>
        <w:rPr>
          <w:b w:val="0"/>
        </w:rPr>
        <w:t>Forty minute sequence</w:t>
      </w:r>
    </w:p>
    <w:tbl>
      <w:tblPr>
        <w:tblStyle w:val="TableGrid"/>
        <w:tblW w:type="auto" w:w="0"/>
        <w:tblLayout w:type="fixed"/>
        <w:tblLook w:firstColumn="1" w:firstRow="1" w:lastColumn="0" w:lastRow="0" w:noHBand="0" w:noVBand="1" w:val="04A0"/>
      </w:tblPr>
      <w:tblGrid>
        <w:gridCol w:w="936"/>
        <w:gridCol w:w="648"/>
        <w:gridCol w:w="8352"/>
      </w:tblGrid>
      <w:tr>
        <w:trPr>
          <w:tblHeader/>
          <w:cantSplit/>
        </w:trPr>
        <w:tc>
          <w:tcPr>
            <w:tcW w:type="dxa" w:w="936"/>
          </w:tcPr>
          <w:p>
            <w:pPr>
              <w:spacing w:after="80" w:before="60"/>
            </w:pPr>
            <w:r>
              <w:rPr>
                <w:b/>
                <w:sz w:val="20"/>
              </w:rPr>
              <w:t>Slide</w:t>
            </w:r>
          </w:p>
        </w:tc>
        <w:tc>
          <w:tcPr>
            <w:tcW w:type="dxa" w:w="648"/>
          </w:tcPr>
          <w:p>
            <w:pPr>
              <w:spacing w:after="80" w:before="60"/>
            </w:pPr>
            <w:r>
              <w:rPr>
                <w:b/>
                <w:sz w:val="20"/>
              </w:rPr>
              <w:t>Min</w:t>
            </w:r>
          </w:p>
        </w:tc>
        <w:tc>
          <w:tcPr>
            <w:tcW w:type="dxa" w:w="8352"/>
          </w:tcPr>
          <w:p>
            <w:pPr>
              <w:spacing w:after="80" w:before="60"/>
            </w:pPr>
            <w:r>
              <w:rPr>
                <w:b/>
                <w:sz w:val="20"/>
              </w:rPr>
              <w:t>Action</w:t>
            </w:r>
          </w:p>
        </w:tc>
      </w:tr>
      <w:tr>
        <w:trPr>
          <w:cantSplit/>
        </w:trPr>
        <w:tc>
          <w:tcPr>
            <w:tcW w:type="dxa" w:w="936"/>
          </w:tcPr>
          <w:p>
            <w:pPr>
              <w:spacing w:after="80" w:before="60"/>
            </w:pPr>
            <w:r>
              <w:rPr>
                <w:b w:val="0"/>
                <w:sz w:val="20"/>
              </w:rPr>
              <w:t>1</w:t>
            </w:r>
          </w:p>
        </w:tc>
        <w:tc>
          <w:tcPr>
            <w:tcW w:type="dxa" w:w="648"/>
          </w:tcPr>
          <w:p>
            <w:pPr>
              <w:spacing w:after="80" w:before="60"/>
            </w:pPr>
            <w:r>
              <w:rPr>
                <w:b w:val="0"/>
                <w:sz w:val="20"/>
              </w:rPr>
              <w:t>0</w:t>
            </w:r>
          </w:p>
        </w:tc>
        <w:tc>
          <w:tcPr>
            <w:tcW w:type="dxa" w:w="8352"/>
          </w:tcPr>
          <w:p>
            <w:pPr>
              <w:spacing w:after="80" w:before="60"/>
            </w:pPr>
            <w:r>
              <w:rPr>
                <w:b w:val="0"/>
                <w:sz w:val="20"/>
              </w:rPr>
              <w:t>Open title and big question before timing.</w:t>
            </w:r>
          </w:p>
        </w:tc>
      </w:tr>
      <w:tr>
        <w:trPr>
          <w:cantSplit/>
        </w:trPr>
        <w:tc>
          <w:tcPr>
            <w:tcW w:type="dxa" w:w="936"/>
          </w:tcPr>
          <w:p>
            <w:pPr>
              <w:spacing w:after="80" w:before="60"/>
            </w:pPr>
            <w:r>
              <w:rPr>
                <w:b w:val="0"/>
                <w:sz w:val="20"/>
              </w:rPr>
              <w:t>2</w:t>
            </w:r>
          </w:p>
        </w:tc>
        <w:tc>
          <w:tcPr>
            <w:tcW w:type="dxa" w:w="648"/>
          </w:tcPr>
          <w:p>
            <w:pPr>
              <w:spacing w:after="80" w:before="60"/>
            </w:pPr>
            <w:r>
              <w:rPr>
                <w:b w:val="0"/>
                <w:sz w:val="20"/>
              </w:rPr>
              <w:t>4</w:t>
            </w:r>
          </w:p>
        </w:tc>
        <w:tc>
          <w:tcPr>
            <w:tcW w:type="dxa" w:w="8352"/>
          </w:tcPr>
          <w:p>
            <w:pPr>
              <w:spacing w:after="80" w:before="60"/>
            </w:pPr>
            <w:r>
              <w:rPr>
                <w:b w:val="0"/>
                <w:sz w:val="20"/>
              </w:rPr>
              <w:t>Private check-in, quiet start and support choice.</w:t>
            </w:r>
          </w:p>
        </w:tc>
      </w:tr>
      <w:tr>
        <w:trPr>
          <w:cantSplit/>
        </w:trPr>
        <w:tc>
          <w:tcPr>
            <w:tcW w:type="dxa" w:w="936"/>
          </w:tcPr>
          <w:p>
            <w:pPr>
              <w:spacing w:after="80" w:before="60"/>
            </w:pPr>
            <w:r>
              <w:rPr>
                <w:b w:val="0"/>
                <w:sz w:val="20"/>
              </w:rPr>
              <w:t>3</w:t>
            </w:r>
          </w:p>
        </w:tc>
        <w:tc>
          <w:tcPr>
            <w:tcW w:type="dxa" w:w="648"/>
          </w:tcPr>
          <w:p>
            <w:pPr>
              <w:spacing w:after="80" w:before="60"/>
            </w:pPr>
            <w:r>
              <w:rPr>
                <w:b w:val="0"/>
                <w:sz w:val="20"/>
              </w:rPr>
              <w:t>2</w:t>
            </w:r>
          </w:p>
        </w:tc>
        <w:tc>
          <w:tcPr>
            <w:tcW w:type="dxa" w:w="8352"/>
          </w:tcPr>
          <w:p>
            <w:pPr>
              <w:spacing w:after="80" w:before="60"/>
            </w:pPr>
            <w:r>
              <w:rPr>
                <w:b w:val="0"/>
                <w:sz w:val="20"/>
              </w:rPr>
              <w:t>Read the diagram; hear one clue or question.</w:t>
            </w:r>
          </w:p>
        </w:tc>
      </w:tr>
      <w:tr>
        <w:trPr>
          <w:cantSplit/>
        </w:trPr>
        <w:tc>
          <w:tcPr>
            <w:tcW w:type="dxa" w:w="936"/>
          </w:tcPr>
          <w:p>
            <w:pPr>
              <w:spacing w:after="80" w:before="60"/>
            </w:pPr>
            <w:r>
              <w:rPr>
                <w:b w:val="0"/>
                <w:sz w:val="20"/>
              </w:rPr>
              <w:t>4</w:t>
            </w:r>
          </w:p>
        </w:tc>
        <w:tc>
          <w:tcPr>
            <w:tcW w:type="dxa" w:w="648"/>
          </w:tcPr>
          <w:p>
            <w:pPr>
              <w:spacing w:after="80" w:before="60"/>
            </w:pPr>
            <w:r>
              <w:rPr>
                <w:b w:val="0"/>
                <w:sz w:val="20"/>
              </w:rPr>
              <w:t>0</w:t>
            </w:r>
          </w:p>
        </w:tc>
        <w:tc>
          <w:tcPr>
            <w:tcW w:type="dxa" w:w="8352"/>
          </w:tcPr>
          <w:p>
            <w:pPr>
              <w:spacing w:after="80" w:before="60"/>
            </w:pPr>
            <w:r>
              <w:rPr>
                <w:b w:val="0"/>
                <w:sz w:val="20"/>
              </w:rPr>
              <w:t>Read the exact objective and success checks.</w:t>
            </w:r>
          </w:p>
        </w:tc>
      </w:tr>
      <w:tr>
        <w:trPr>
          <w:cantSplit/>
        </w:trPr>
        <w:tc>
          <w:tcPr>
            <w:tcW w:type="dxa" w:w="936"/>
          </w:tcPr>
          <w:p>
            <w:pPr>
              <w:spacing w:after="80" w:before="60"/>
            </w:pPr>
            <w:r>
              <w:rPr>
                <w:b w:val="0"/>
                <w:sz w:val="20"/>
              </w:rPr>
              <w:t>5</w:t>
            </w:r>
          </w:p>
        </w:tc>
        <w:tc>
          <w:tcPr>
            <w:tcW w:type="dxa" w:w="648"/>
          </w:tcPr>
          <w:p>
            <w:pPr>
              <w:spacing w:after="80" w:before="60"/>
            </w:pPr>
            <w:r>
              <w:rPr>
                <w:b w:val="0"/>
                <w:sz w:val="20"/>
              </w:rPr>
              <w:t>5</w:t>
            </w:r>
          </w:p>
        </w:tc>
        <w:tc>
          <w:tcPr>
            <w:tcW w:type="dxa" w:w="8352"/>
          </w:tcPr>
          <w:p>
            <w:pPr>
              <w:spacing w:after="80" w:before="60"/>
            </w:pPr>
            <w:r>
              <w:rPr>
                <w:b w:val="0"/>
                <w:sz w:val="20"/>
              </w:rPr>
              <w:t>Model the six lines; explain the reason for each.</w:t>
            </w:r>
          </w:p>
        </w:tc>
      </w:tr>
      <w:tr>
        <w:trPr>
          <w:cantSplit/>
        </w:trPr>
        <w:tc>
          <w:tcPr>
            <w:tcW w:type="dxa" w:w="936"/>
          </w:tcPr>
          <w:p>
            <w:pPr>
              <w:spacing w:after="80" w:before="60"/>
            </w:pPr>
            <w:r>
              <w:rPr>
                <w:b w:val="0"/>
                <w:sz w:val="20"/>
              </w:rPr>
              <w:t>6</w:t>
            </w:r>
          </w:p>
        </w:tc>
        <w:tc>
          <w:tcPr>
            <w:tcW w:type="dxa" w:w="648"/>
          </w:tcPr>
          <w:p>
            <w:pPr>
              <w:spacing w:after="80" w:before="60"/>
            </w:pPr>
            <w:r>
              <w:rPr>
                <w:b w:val="0"/>
                <w:sz w:val="20"/>
              </w:rPr>
              <w:t>5</w:t>
            </w:r>
          </w:p>
        </w:tc>
        <w:tc>
          <w:tcPr>
            <w:tcW w:type="dxa" w:w="8352"/>
          </w:tcPr>
          <w:p>
            <w:pPr>
              <w:spacing w:after="80" w:before="60"/>
            </w:pPr>
            <w:r>
              <w:rPr>
                <w:b w:val="0"/>
                <w:sz w:val="20"/>
              </w:rPr>
              <w:t>Ask for a hinge answer and reason; reteach if needed.</w:t>
            </w:r>
          </w:p>
        </w:tc>
      </w:tr>
      <w:tr>
        <w:trPr>
          <w:cantSplit/>
        </w:trPr>
        <w:tc>
          <w:tcPr>
            <w:tcW w:type="dxa" w:w="936"/>
          </w:tcPr>
          <w:p>
            <w:pPr>
              <w:spacing w:after="80" w:before="60"/>
            </w:pPr>
            <w:r>
              <w:rPr>
                <w:b w:val="0"/>
                <w:sz w:val="20"/>
              </w:rPr>
              <w:t>7</w:t>
            </w:r>
          </w:p>
        </w:tc>
        <w:tc>
          <w:tcPr>
            <w:tcW w:type="dxa" w:w="648"/>
          </w:tcPr>
          <w:p>
            <w:pPr>
              <w:spacing w:after="80" w:before="60"/>
            </w:pPr>
            <w:r>
              <w:rPr>
                <w:b w:val="0"/>
                <w:sz w:val="20"/>
              </w:rPr>
              <w:t>12</w:t>
            </w:r>
          </w:p>
        </w:tc>
        <w:tc>
          <w:tcPr>
            <w:tcW w:type="dxa" w:w="8352"/>
          </w:tcPr>
          <w:p>
            <w:pPr>
              <w:spacing w:after="80" w:before="60"/>
            </w:pPr>
            <w:r>
              <w:rPr>
                <w:b w:val="0"/>
                <w:sz w:val="20"/>
              </w:rPr>
              <w:t>Use the six cards and the Supported/Independent/Aspire routes.</w:t>
            </w:r>
          </w:p>
        </w:tc>
      </w:tr>
      <w:tr>
        <w:trPr>
          <w:cantSplit/>
        </w:trPr>
        <w:tc>
          <w:tcPr>
            <w:tcW w:type="dxa" w:w="936"/>
          </w:tcPr>
          <w:p>
            <w:pPr>
              <w:spacing w:after="80" w:before="60"/>
            </w:pPr>
            <w:r>
              <w:rPr>
                <w:b w:val="0"/>
                <w:sz w:val="20"/>
              </w:rPr>
              <w:t>8</w:t>
            </w:r>
          </w:p>
        </w:tc>
        <w:tc>
          <w:tcPr>
            <w:tcW w:type="dxa" w:w="648"/>
          </w:tcPr>
          <w:p>
            <w:pPr>
              <w:spacing w:after="80" w:before="60"/>
            </w:pPr>
            <w:r>
              <w:rPr>
                <w:b w:val="0"/>
                <w:sz w:val="20"/>
              </w:rPr>
              <w:t>6</w:t>
            </w:r>
          </w:p>
        </w:tc>
        <w:tc>
          <w:tcPr>
            <w:tcW w:type="dxa" w:w="8352"/>
          </w:tcPr>
          <w:p>
            <w:pPr>
              <w:spacing w:after="80" w:before="60"/>
            </w:pPr>
            <w:r>
              <w:rPr>
                <w:b w:val="0"/>
                <w:sz w:val="20"/>
              </w:rPr>
              <w:t>Complete the individual two-page evidence record.</w:t>
            </w:r>
          </w:p>
        </w:tc>
      </w:tr>
      <w:tr>
        <w:trPr>
          <w:cantSplit/>
        </w:trPr>
        <w:tc>
          <w:tcPr>
            <w:tcW w:type="dxa" w:w="936"/>
          </w:tcPr>
          <w:p>
            <w:pPr>
              <w:spacing w:after="80" w:before="60"/>
            </w:pPr>
            <w:r>
              <w:rPr>
                <w:b w:val="0"/>
                <w:sz w:val="20"/>
              </w:rPr>
              <w:t>9</w:t>
            </w:r>
          </w:p>
        </w:tc>
        <w:tc>
          <w:tcPr>
            <w:tcW w:type="dxa" w:w="648"/>
          </w:tcPr>
          <w:p>
            <w:pPr>
              <w:spacing w:after="80" w:before="60"/>
            </w:pPr>
            <w:r>
              <w:rPr>
                <w:b w:val="0"/>
                <w:sz w:val="20"/>
              </w:rPr>
              <w:t>4</w:t>
            </w:r>
          </w:p>
        </w:tc>
        <w:tc>
          <w:tcPr>
            <w:tcW w:type="dxa" w:w="8352"/>
          </w:tcPr>
          <w:p>
            <w:pPr>
              <w:spacing w:after="80" w:before="60"/>
            </w:pPr>
            <w:r>
              <w:rPr>
                <w:b w:val="0"/>
                <w:sz w:val="20"/>
              </w:rPr>
              <w:t>Check ownership, support, response and next step.</w:t>
            </w:r>
          </w:p>
        </w:tc>
      </w:tr>
      <w:tr>
        <w:trPr>
          <w:cantSplit/>
        </w:trPr>
        <w:tc>
          <w:tcPr>
            <w:tcW w:type="dxa" w:w="936"/>
          </w:tcPr>
          <w:p>
            <w:pPr>
              <w:spacing w:after="80" w:before="60"/>
            </w:pPr>
            <w:r>
              <w:rPr>
                <w:b w:val="0"/>
                <w:sz w:val="20"/>
              </w:rPr>
              <w:t>10</w:t>
            </w:r>
          </w:p>
        </w:tc>
        <w:tc>
          <w:tcPr>
            <w:tcW w:type="dxa" w:w="648"/>
          </w:tcPr>
          <w:p>
            <w:pPr>
              <w:spacing w:after="80" w:before="60"/>
            </w:pPr>
            <w:r>
              <w:rPr>
                <w:b w:val="0"/>
                <w:sz w:val="20"/>
              </w:rPr>
              <w:t>2</w:t>
            </w:r>
          </w:p>
        </w:tc>
        <w:tc>
          <w:tcPr>
            <w:tcW w:type="dxa" w:w="8352"/>
          </w:tcPr>
          <w:p>
            <w:pPr>
              <w:spacing w:after="80" w:before="60"/>
            </w:pPr>
            <w:r>
              <w:rPr>
                <w:b w:val="0"/>
                <w:sz w:val="20"/>
              </w:rPr>
              <w:t>Take a short quiet exit response.</w:t>
            </w:r>
          </w:p>
        </w:tc>
      </w:tr>
      <w:tr>
        <w:trPr>
          <w:cantSplit/>
        </w:trPr>
        <w:tc>
          <w:tcPr>
            <w:tcW w:type="dxa" w:w="936"/>
          </w:tcPr>
          <w:p>
            <w:pPr>
              <w:spacing w:after="80" w:before="60"/>
            </w:pPr>
            <w:r>
              <w:rPr>
                <w:b w:val="0"/>
                <w:sz w:val="20"/>
              </w:rPr>
              <w:t>11</w:t>
            </w:r>
          </w:p>
        </w:tc>
        <w:tc>
          <w:tcPr>
            <w:tcW w:type="dxa" w:w="648"/>
          </w:tcPr>
          <w:p>
            <w:pPr>
              <w:spacing w:after="80" w:before="60"/>
            </w:pPr>
            <w:r>
              <w:rPr>
                <w:b w:val="0"/>
                <w:sz w:val="20"/>
              </w:rPr>
              <w:t>0</w:t>
            </w:r>
          </w:p>
        </w:tc>
        <w:tc>
          <w:tcPr>
            <w:tcW w:type="dxa" w:w="8352"/>
          </w:tcPr>
          <w:p>
            <w:pPr>
              <w:spacing w:after="80" w:before="60"/>
            </w:pPr>
            <w:r>
              <w:rPr>
                <w:b w:val="0"/>
                <w:sz w:val="20"/>
              </w:rPr>
              <w:t>Use the vocabulary mat throughout.</w:t>
            </w:r>
          </w:p>
        </w:tc>
      </w:tr>
      <w:tr>
        <w:trPr>
          <w:cantSplit/>
        </w:trPr>
        <w:tc>
          <w:tcPr>
            <w:tcW w:type="dxa" w:w="936"/>
          </w:tcPr>
          <w:p>
            <w:pPr>
              <w:spacing w:after="80" w:before="60"/>
            </w:pPr>
            <w:r>
              <w:rPr>
                <w:b w:val="0"/>
                <w:sz w:val="20"/>
              </w:rPr>
              <w:t>12</w:t>
            </w:r>
          </w:p>
        </w:tc>
        <w:tc>
          <w:tcPr>
            <w:tcW w:type="dxa" w:w="648"/>
          </w:tcPr>
          <w:p>
            <w:pPr>
              <w:spacing w:after="80" w:before="60"/>
            </w:pPr>
            <w:r>
              <w:rPr>
                <w:b w:val="0"/>
                <w:sz w:val="20"/>
              </w:rPr>
              <w:t>0</w:t>
            </w:r>
          </w:p>
        </w:tc>
        <w:tc>
          <w:tcPr>
            <w:tcW w:type="dxa" w:w="8352"/>
          </w:tcPr>
          <w:p>
            <w:pPr>
              <w:spacing w:after="80" w:before="60"/>
            </w:pPr>
            <w:r>
              <w:rPr>
                <w:b w:val="0"/>
                <w:sz w:val="20"/>
              </w:rPr>
              <w:t>Hidden reference for adults.</w:t>
            </w:r>
          </w:p>
        </w:tc>
      </w:tr>
    </w:tbl>
    <w:p>
      <w:pPr>
        <w:pStyle w:val="Heading1"/>
      </w:pPr>
      <w:r>
        <w:rPr>
          <w:b w:val="0"/>
        </w:rPr>
        <w:t>Hinge and reteach</w:t>
      </w:r>
    </w:p>
    <w:p>
      <w:r>
        <w:rPr>
          <w:b w:val="0"/>
        </w:rPr>
        <w:t>B answers the question with authentic experience. A repeats requirements without evidence; C invents work history. Ask which part the learner did and whether the example matches the question. Reteach with a clearly labelled adult example, then ask the learner to choose their own. A justified not-yet/to-check entry is better than a fabricated answer.</w:t>
      </w:r>
    </w:p>
    <w:p>
      <w:pPr>
        <w:pStyle w:val="Heading1"/>
      </w:pPr>
      <w:r>
        <w:rPr>
          <w:b w:val="0"/>
        </w:rPr>
        <w:t>Access and practice</w:t>
      </w:r>
    </w:p>
    <w:p>
      <w:r>
        <w:rPr>
          <w:b w:val="0"/>
        </w:rPr>
        <w:t>Supported: answer one box at a time with help. Independent: complete and check the form. Aspire: improve a response against the brief.</w:t>
      </w:r>
    </w:p>
    <w:p>
      <w:r>
        <w:rPr>
          <w:b w:val="0"/>
        </w:rPr>
        <w:t>Read the vacancy and instructions; work through the form one box at a time. Use Week 1 material only where it is authentic and relevant. Offer reading or exact scribing, then record the help. Give one NS+ prompt to improve relevance or accuracy; keep the learner’s own response. Do not send the form.</w:t>
      </w:r>
    </w:p>
    <w:p>
      <w:r>
        <w:rPr>
          <w:b w:val="0"/>
        </w:rPr>
        <w:t>Begin evidence during practice and finish during capture. Accept speech, pointing, drawing, writing or usual AAC. Scribe exact words without supplying the assessed reason. No forced pair work or public performance.</w:t>
      </w:r>
    </w:p>
    <w:p>
      <w:r>
        <w:br w:type="page"/>
      </w:r>
    </w:p>
    <w:p>
      <w:pPr>
        <w:pStyle w:val="Heading1"/>
      </w:pPr>
      <w:r>
        <w:rPr>
          <w:b w:val="0"/>
        </w:rPr>
        <w:t>Safe teaching evidence and learner voice</w:t>
      </w:r>
    </w:p>
    <w:p>
      <w:pPr>
        <w:pStyle w:val="Heading1"/>
      </w:pPr>
      <w:r>
        <w:rPr>
          <w:b w:val="0"/>
        </w:rPr>
        <w:t>Boundaries</w:t>
      </w:r>
    </w:p>
    <w:p>
      <w:r>
        <w:rPr>
          <w:b w:val="0"/>
        </w:rPr>
        <w:t>Use learner ID only. Keep personal contact details, school and staff names, health/disability information and referee details out of the practice form. No signatures or commitments are required. Use truthful learner examples and mark unknowns. Staff check any real future application separately through the agreed private route.</w:t>
      </w:r>
    </w:p>
    <w:p>
      <w:pPr>
        <w:pStyle w:val="Heading1"/>
      </w:pPr>
      <w:r>
        <w:rPr>
          <w:b w:val="0"/>
        </w:rPr>
        <w:t>Assessment and feedback</w:t>
      </w:r>
    </w:p>
    <w:p>
      <w:r>
        <w:rPr>
          <w:b w:val="0"/>
        </w:rPr>
        <w:t>Check the form answers the actual prompts: role/reference, interest, relevant skill and real example, learning/experience status, availability status, and a clear review. A to-check entry can be honest but does not prove the missing information is complete. Record the learner’s revision after feedback. Distinguish application-writing skill from a real job application; no consent, signature, reference, employment status or success outcome is prefilled.</w:t>
      </w:r>
    </w:p>
    <w:p>
      <w:r>
        <w:rPr>
          <w:b w:val="0"/>
        </w:rPr>
        <w:t>Retain actual work, response mode and support. Use VF · WS · I · NS+ (Yellow Box) · // (self-edit) · ? (read back) · R (responded) · E (evidence in the school’s evidence record). R requires Voice, Audience, an NS+ prompt and the learner’s response in their own colour. Record E only after evidence is banked. Blank forms and adult models are not completed learner evidence.</w:t>
      </w:r>
    </w:p>
    <w:p>
      <w:pPr>
        <w:pStyle w:val="Heading1"/>
      </w:pPr>
      <w:r>
        <w:rPr>
          <w:b w:val="0"/>
        </w:rPr>
        <w:t>Lundy moments</w:t>
      </w:r>
    </w:p>
    <w:p>
      <w:r>
        <w:rPr>
          <w:b w:val="0"/>
        </w:rPr>
        <w:t>Space: calm, accessible participation. Voice: a choice, reason or help request. Audience: the adult listens or reads and replies. Influence: record the support or next-step change made in response.</w:t>
      </w:r>
    </w:p>
    <w:p>
      <w:pPr>
        <w:pStyle w:val="Heading1"/>
      </w:pPr>
      <w:r>
        <w:rPr>
          <w:b w:val="0"/>
        </w:rPr>
        <w:t>Offer to the Communication portfolio</w:t>
      </w:r>
    </w:p>
    <w:p>
      <w:r>
        <w:rPr>
          <w:b w:val="0"/>
        </w:rPr>
        <w:t>Read or listen to an instruction, explain a relevant example, ask a clarifying question and respond to feedback. The receiving teacher maps authentic responses to their own portfolio; no communication criteria are assigned here.</w:t>
      </w:r>
    </w:p>
    <w:p>
      <w:pPr>
        <w:pStyle w:val="Heading1"/>
      </w:pPr>
      <w:r>
        <w:rPr>
          <w:b w:val="0"/>
        </w:rPr>
        <w:t>Reflection and provenance</w:t>
      </w:r>
    </w:p>
    <w:p>
      <w:r>
        <w:rPr>
          <w:b w:val="0"/>
        </w:rPr>
        <w:t>Next teaching need: __________________________________________________</w:t>
        <w:br/>
        <w:t>Learner request and change made: _______________________________________</w:t>
      </w:r>
    </w:p>
    <w:p>
      <w:r>
        <w:rPr>
          <w:b w:val="0"/>
        </w:rPr>
        <w:t>Sources: LAUNCH workbook, source revision 9ed44bdf, cells above, verified on main by blob/hash. The weekly block framework and assessment are in D102/F102. Calendar and lesson count: owner order. Examples and diagrams are authored. Source URLs and limits: FACTS_LEDGER.md. No registration or criteria are inferred.</w:t>
      </w:r>
    </w:p>
    <w:sectPr w:rsidR="00FC693F" w:rsidRPr="0006063C" w:rsidSect="00034616">
      <w:headerReference w:type="default" r:id="rId9"/>
      <w:footerReference w:type="default" r:id="rId10"/>
      <w:pgSz w:w="11909" w:h="16834"/>
      <w:pgMar w:top="792" w:right="893" w:bottom="792" w:left="893" w:header="346"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4"/>
      </w:rPr>
      <w:t>Lesson resource · CC BY-NC-SA 4.0: free for classroom use, share and adapt with credit, no resale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sz w:val="18"/>
      </w:rPr>
      <w:t>CAREERS-LAUNCH-A2-W02 · Public edition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2" w:lineRule="auto"/>
      <w:outlineLvl w:val="0"/>
    </w:pPr>
    <w:rPr>
      <w:rFonts w:asciiTheme="majorHAnsi" w:eastAsiaTheme="majorEastAsia" w:hAnsiTheme="majorHAnsi" w:cstheme="majorBidi" w:ascii="Arial" w:hAnsi="Arial"/>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52" w:lineRule="auto"/>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20" w:line="252" w:lineRule="auto"/>
      <w:contextualSpacing/>
    </w:pPr>
    <w:rPr>
      <w:rFonts w:asciiTheme="majorHAnsi" w:eastAsiaTheme="majorEastAsia" w:hAnsiTheme="majorHAnsi" w:cstheme="majorBidi" w:ascii="Arial" w:hAnsi="Arial"/>
      <w:b/>
      <w:color w:val="000000"/>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52" w:lineRule="auto"/>
    </w:pPr>
    <w:rPr>
      <w:rFonts w:ascii="Arial" w:hAnsi="Arial"/>
      <w:color w:val="000000"/>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[SYS]</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Teacher and cover planner</dc:title>
  <dc:subject>CAREERS-LAUNCH-A2-W02</dc:subject>
  <dc:creator/>
  <cp:keywords/>
  <dc:description/>
  <cp:lastModifiedBy/>
  <cp:revision>1</cp:revision>
  <dcterms:created xsi:type="dcterms:W3CDTF">2026-10-24T00:00:00Z</dcterms:created>
  <dcterms:modified xsi:type="dcterms:W3CDTF">2026-10-24T00:00:00Z</dcterms:modified>
  <cp:category/>
</cp:coreProperties>
</file>