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Telephone and email enquiries</w:t>
      </w:r>
    </w:p>
    <w:p>
      <w:r>
        <w:rPr>
          <w:b w:val="0"/>
        </w:rPr>
        <w:t>Week beginning 30 November 2026 · one 40-minute lesson</w:t>
      </w:r>
    </w:p>
    <w:p>
      <w:r>
        <w:rPr>
          <w:b w:val="0"/>
        </w:rPr>
        <w:t>Actual teaching date __________________  Staff role ______________</w:t>
      </w:r>
    </w:p>
    <w:p>
      <w:r>
        <w:rPr>
          <w:b w:val="0"/>
        </w:rPr>
        <w:t>Year A · Term theme: Identity &amp; Belonging — LAUNCH - Autumn!C19</w:t>
      </w:r>
    </w:p>
    <w:p>
      <w:pPr>
        <w:pStyle w:val="Heading1"/>
      </w:pPr>
      <w:r>
        <w:rPr>
          <w:b w:val="0"/>
        </w:rPr>
        <w:t>Exact scheme cells</w:t>
      </w:r>
    </w:p>
    <w:p>
      <w:r>
        <w:rPr>
          <w:b w:val="0"/>
        </w:rPr>
        <w:t>LAUNCH Weekly - Autumn!C113: Telephone &amp; email enquiries.</w:t>
      </w:r>
    </w:p>
    <w:p>
      <w:r>
        <w:rPr>
          <w:b w:val="0"/>
        </w:rPr>
        <w:t>LAUNCH - Autumn!D19: Applications, CVs &amp; digital footprint</w:t>
      </w:r>
    </w:p>
    <w:p>
      <w:r>
        <w:rPr>
          <w:b w:val="0"/>
        </w:rPr>
        <w:t>LAUNCH - Autumn!I19: The qualification: accredited units for applications and interviews.</w:t>
      </w:r>
    </w:p>
    <w:p>
      <w:r>
        <w:rPr>
          <w:b w:val="0"/>
        </w:rPr>
        <w:t>LAUNCH - Autumn!J19: F: draft CV feedback.  S: completed CV + mock-interview assessment (Dec data drop).</w:t>
      </w:r>
    </w:p>
    <w:p>
      <w:r>
        <w:rPr>
          <w:b w:val="0"/>
          <w:sz w:val="19"/>
        </w:rPr>
        <w:t>Names in source labels are expressed in plain generic wording. No registration, criterion or qualification completion is inferred.</w:t>
      </w:r>
    </w:p>
    <w:p>
      <w:pPr>
        <w:pStyle w:val="Heading1"/>
      </w:pPr>
      <w:r>
        <w:rPr>
          <w:b w:val="0"/>
        </w:rPr>
        <w:t>Purpose and success checks</w:t>
      </w:r>
    </w:p>
    <w:p>
      <w:r>
        <w:rPr>
          <w:b w:val="0"/>
        </w:rPr>
        <w:t>How can I ask a clear question about a role?</w:t>
      </w:r>
    </w:p>
    <w:p>
      <w:r>
        <w:rPr>
          <w:b w:val="0"/>
        </w:rPr>
        <w:t>I can ask one clear question. I can note a reply or a fact still to check. I can improve a draft after feedback.</w:t>
      </w:r>
    </w:p>
    <w:p>
      <w:r>
        <w:rPr>
          <w:b w:val="0"/>
          <w:sz w:val="19"/>
        </w:rPr>
        <w:t>CAREERS-LAUNCH-A2-W5-E1: An individual practice enquiry record: the question, actual practice reply, fact understood or still unknown, unsent email draft, specific feedback, learner-owned change, response mode and support. Record which modes were attempted.</w:t>
      </w:r>
    </w:p>
    <w:p>
      <w:pPr>
        <w:pStyle w:val="Heading1"/>
      </w:pPr>
      <w:r>
        <w:rPr>
          <w:b w:val="0"/>
        </w:rPr>
        <w:t>Before pupils arrive</w:t>
      </w:r>
    </w:p>
    <w:p>
      <w:r>
        <w:rPr>
          <w:b w:val="0"/>
        </w:rPr>
        <w:t>Print the role brief, enquiry record, cards and vocabulary mat. Use paper or an offline document. No account or working phone is required. The adult plays the fictional recruitment contact. Keep the two scripted replies on the support sheet; do not invent additional vacancy facts.</w:t>
      </w:r>
    </w:p>
    <w:p>
      <w:pPr>
        <w:pStyle w:val="Heading1"/>
      </w:pPr>
      <w:r>
        <w:rPr>
          <w:b w:val="0"/>
        </w:rPr>
        <w:t>Calendar and continuity</w:t>
      </w:r>
    </w:p>
    <w:p>
      <w:r>
        <w:rPr>
          <w:b w:val="0"/>
        </w:rPr>
        <w:t>Year A, Autumn 2 Week 5: 30 November–4 December 2026. One 40-minute Careers lesson. No day or clock slot is inferred. Week 7 is the assessing lesson. Record actual dates and missing prior work honestly.</w:t>
      </w:r>
    </w:p>
    <w:p>
      <w:pPr>
        <w:pStyle w:val="Heading1"/>
      </w:pPr>
      <w:r>
        <w:rPr>
          <w:b w:val="0"/>
        </w:rPr>
        <w:t>Where this leads</w:t>
      </w:r>
    </w:p>
    <w:p>
      <w:r>
        <w:rPr>
          <w:b w:val="0"/>
        </w:rPr>
        <w:t>This helps me ask for facts before I apply for work or training.</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648"/>
        <w:gridCol w:w="576"/>
        <w:gridCol w:w="8712"/>
      </w:tblGrid>
      <w:tr>
        <w:trPr>
          <w:tblHeader/>
        </w:trPr>
        <w:tc>
          <w:tcPr>
            <w:tcW w:type="dxa" w:w="648"/>
          </w:tcPr>
          <w:p>
            <w:pPr>
              <w:spacing w:after="60" w:before="40"/>
            </w:pPr>
            <w:r>
              <w:rPr>
                <w:b/>
                <w:sz w:val="18"/>
              </w:rPr>
              <w:t>Slide</w:t>
            </w:r>
          </w:p>
        </w:tc>
        <w:tc>
          <w:tcPr>
            <w:tcW w:type="dxa" w:w="576"/>
          </w:tcPr>
          <w:p>
            <w:pPr>
              <w:spacing w:after="60" w:before="40"/>
            </w:pPr>
            <w:r>
              <w:rPr>
                <w:b/>
                <w:sz w:val="18"/>
              </w:rPr>
              <w:t>Min</w:t>
            </w:r>
          </w:p>
        </w:tc>
        <w:tc>
          <w:tcPr>
            <w:tcW w:type="dxa" w:w="8712"/>
          </w:tcPr>
          <w:p>
            <w:pPr>
              <w:spacing w:after="60" w:before="40"/>
            </w:pPr>
            <w:r>
              <w:rPr>
                <w:b/>
                <w:sz w:val="18"/>
              </w:rPr>
              <w:t>Action</w:t>
            </w:r>
          </w:p>
        </w:tc>
      </w:tr>
      <w:tr>
        <w:tc>
          <w:tcPr>
            <w:tcW w:type="dxa" w:w="648"/>
          </w:tcPr>
          <w:p>
            <w:pPr>
              <w:spacing w:after="60" w:before="40"/>
            </w:pPr>
            <w:r>
              <w:rPr>
                <w:b w:val="0"/>
                <w:sz w:val="18"/>
              </w:rPr>
              <w:t>1</w:t>
            </w:r>
          </w:p>
        </w:tc>
        <w:tc>
          <w:tcPr>
            <w:tcW w:type="dxa" w:w="576"/>
          </w:tcPr>
          <w:p>
            <w:pPr>
              <w:spacing w:after="60" w:before="40"/>
            </w:pPr>
            <w:r>
              <w:rPr>
                <w:b w:val="0"/>
                <w:sz w:val="18"/>
              </w:rPr>
              <w:t>0</w:t>
            </w:r>
          </w:p>
        </w:tc>
        <w:tc>
          <w:tcPr>
            <w:tcW w:type="dxa" w:w="8712"/>
          </w:tcPr>
          <w:p>
            <w:pPr>
              <w:spacing w:after="60" w:before="40"/>
            </w:pPr>
            <w:r>
              <w:rPr>
                <w:b w:val="0"/>
                <w:sz w:val="18"/>
              </w:rPr>
              <w:t>Open the title and read the big question before starting the timed sequence.</w:t>
            </w:r>
          </w:p>
        </w:tc>
      </w:tr>
      <w:tr>
        <w:tc>
          <w:tcPr>
            <w:tcW w:type="dxa" w:w="648"/>
          </w:tcPr>
          <w:p>
            <w:pPr>
              <w:spacing w:after="60" w:before="40"/>
            </w:pPr>
            <w:r>
              <w:rPr>
                <w:b w:val="0"/>
                <w:sz w:val="18"/>
              </w:rPr>
              <w:t>2</w:t>
            </w:r>
          </w:p>
        </w:tc>
        <w:tc>
          <w:tcPr>
            <w:tcW w:type="dxa" w:w="576"/>
          </w:tcPr>
          <w:p>
            <w:pPr>
              <w:spacing w:after="60" w:before="40"/>
            </w:pPr>
            <w:r>
              <w:rPr>
                <w:b w:val="0"/>
                <w:sz w:val="18"/>
              </w:rPr>
              <w:t>4</w:t>
            </w:r>
          </w:p>
        </w:tc>
        <w:tc>
          <w:tcPr>
            <w:tcW w:type="dxa" w:w="8712"/>
          </w:tcPr>
          <w:p>
            <w:pPr>
              <w:spacing w:after="60" w:before="40"/>
            </w:pPr>
            <w:r>
              <w:rPr>
                <w:b w:val="0"/>
                <w:sz w:val="18"/>
              </w:rPr>
              <w:t>Private check-in and support choice.</w:t>
            </w:r>
          </w:p>
        </w:tc>
      </w:tr>
      <w:tr>
        <w:tc>
          <w:tcPr>
            <w:tcW w:type="dxa" w:w="648"/>
          </w:tcPr>
          <w:p>
            <w:pPr>
              <w:spacing w:after="60" w:before="40"/>
            </w:pPr>
            <w:r>
              <w:rPr>
                <w:b w:val="0"/>
                <w:sz w:val="18"/>
              </w:rPr>
              <w:t>3</w:t>
            </w:r>
          </w:p>
        </w:tc>
        <w:tc>
          <w:tcPr>
            <w:tcW w:type="dxa" w:w="576"/>
          </w:tcPr>
          <w:p>
            <w:pPr>
              <w:spacing w:after="60" w:before="40"/>
            </w:pPr>
            <w:r>
              <w:rPr>
                <w:b w:val="0"/>
                <w:sz w:val="18"/>
              </w:rPr>
              <w:t>2</w:t>
            </w:r>
          </w:p>
        </w:tc>
        <w:tc>
          <w:tcPr>
            <w:tcW w:type="dxa" w:w="8712"/>
          </w:tcPr>
          <w:p>
            <w:pPr>
              <w:spacing w:after="60" w:before="40"/>
            </w:pPr>
            <w:r>
              <w:rPr>
                <w:b w:val="0"/>
                <w:sz w:val="18"/>
              </w:rPr>
              <w:t>Use the diagram to retrieve one useful step. Accept pointing, speech or writing. Do not infer understanding from a nod alone.</w:t>
            </w:r>
          </w:p>
        </w:tc>
      </w:tr>
      <w:tr>
        <w:tc>
          <w:tcPr>
            <w:tcW w:type="dxa" w:w="648"/>
          </w:tcPr>
          <w:p>
            <w:pPr>
              <w:spacing w:after="60" w:before="40"/>
            </w:pPr>
            <w:r>
              <w:rPr>
                <w:b w:val="0"/>
                <w:sz w:val="18"/>
              </w:rPr>
              <w:t>4</w:t>
            </w:r>
          </w:p>
        </w:tc>
        <w:tc>
          <w:tcPr>
            <w:tcW w:type="dxa" w:w="576"/>
          </w:tcPr>
          <w:p>
            <w:pPr>
              <w:spacing w:after="60" w:before="40"/>
            </w:pPr>
            <w:r>
              <w:rPr>
                <w:b w:val="0"/>
                <w:sz w:val="18"/>
              </w:rPr>
              <w:t>0</w:t>
            </w:r>
          </w:p>
        </w:tc>
        <w:tc>
          <w:tcPr>
            <w:tcW w:type="dxa" w:w="8712"/>
          </w:tcPr>
          <w:p>
            <w:pPr>
              <w:spacing w:after="60" w:before="40"/>
            </w:pPr>
            <w:r>
              <w:rPr>
                <w:b w:val="0"/>
                <w:sz w:val="18"/>
              </w:rPr>
              <w:t>Read the exact weekly objective and the three success checks. Explain the careers link in plain words.</w:t>
            </w:r>
          </w:p>
        </w:tc>
      </w:tr>
      <w:tr>
        <w:tc>
          <w:tcPr>
            <w:tcW w:type="dxa" w:w="648"/>
          </w:tcPr>
          <w:p>
            <w:pPr>
              <w:spacing w:after="60" w:before="40"/>
            </w:pPr>
            <w:r>
              <w:rPr>
                <w:b w:val="0"/>
                <w:sz w:val="18"/>
              </w:rPr>
              <w:t>5</w:t>
            </w:r>
          </w:p>
        </w:tc>
        <w:tc>
          <w:tcPr>
            <w:tcW w:type="dxa" w:w="576"/>
          </w:tcPr>
          <w:p>
            <w:pPr>
              <w:spacing w:after="60" w:before="40"/>
            </w:pPr>
            <w:r>
              <w:rPr>
                <w:b w:val="0"/>
                <w:sz w:val="18"/>
              </w:rPr>
              <w:t>5</w:t>
            </w:r>
          </w:p>
        </w:tc>
        <w:tc>
          <w:tcPr>
            <w:tcW w:type="dxa" w:w="8712"/>
          </w:tcPr>
          <w:p>
            <w:pPr>
              <w:spacing w:after="60" w:before="40"/>
            </w:pPr>
            <w:r>
              <w:rPr>
                <w:b w:val="0"/>
                <w:sz w:val="18"/>
              </w:rPr>
              <w:t>Model with the fictional example.</w:t>
            </w:r>
          </w:p>
        </w:tc>
      </w:tr>
      <w:tr>
        <w:tc>
          <w:tcPr>
            <w:tcW w:type="dxa" w:w="648"/>
          </w:tcPr>
          <w:p>
            <w:pPr>
              <w:spacing w:after="60" w:before="40"/>
            </w:pPr>
            <w:r>
              <w:rPr>
                <w:b w:val="0"/>
                <w:sz w:val="18"/>
              </w:rPr>
              <w:t>6</w:t>
            </w:r>
          </w:p>
        </w:tc>
        <w:tc>
          <w:tcPr>
            <w:tcW w:type="dxa" w:w="576"/>
          </w:tcPr>
          <w:p>
            <w:pPr>
              <w:spacing w:after="60" w:before="40"/>
            </w:pPr>
            <w:r>
              <w:rPr>
                <w:b w:val="0"/>
                <w:sz w:val="18"/>
              </w:rPr>
              <w:t>5</w:t>
            </w:r>
          </w:p>
        </w:tc>
        <w:tc>
          <w:tcPr>
            <w:tcW w:type="dxa" w:w="8712"/>
          </w:tcPr>
          <w:p>
            <w:pPr>
              <w:spacing w:after="60" w:before="40"/>
            </w:pPr>
            <w:r>
              <w:rPr>
                <w:b w:val="0"/>
                <w:sz w:val="18"/>
              </w:rPr>
              <w:t>Hinge check; clarify or reteach as needed.</w:t>
            </w:r>
          </w:p>
        </w:tc>
      </w:tr>
      <w:tr>
        <w:tc>
          <w:tcPr>
            <w:tcW w:type="dxa" w:w="648"/>
          </w:tcPr>
          <w:p>
            <w:pPr>
              <w:spacing w:after="60" w:before="40"/>
            </w:pPr>
            <w:r>
              <w:rPr>
                <w:b w:val="0"/>
                <w:sz w:val="18"/>
              </w:rPr>
              <w:t>7</w:t>
            </w:r>
          </w:p>
        </w:tc>
        <w:tc>
          <w:tcPr>
            <w:tcW w:type="dxa" w:w="576"/>
          </w:tcPr>
          <w:p>
            <w:pPr>
              <w:spacing w:after="60" w:before="40"/>
            </w:pPr>
            <w:r>
              <w:rPr>
                <w:b w:val="0"/>
                <w:sz w:val="18"/>
              </w:rPr>
              <w:t>12</w:t>
            </w:r>
          </w:p>
        </w:tc>
        <w:tc>
          <w:tcPr>
            <w:tcW w:type="dxa" w:w="8712"/>
          </w:tcPr>
          <w:p>
            <w:pPr>
              <w:spacing w:after="60" w:before="40"/>
            </w:pPr>
            <w:r>
              <w:rPr>
                <w:b w:val="0"/>
                <w:sz w:val="18"/>
              </w:rPr>
              <w:t>Use the task and access routes below.</w:t>
            </w:r>
          </w:p>
        </w:tc>
      </w:tr>
      <w:tr>
        <w:tc>
          <w:tcPr>
            <w:tcW w:type="dxa" w:w="648"/>
          </w:tcPr>
          <w:p>
            <w:pPr>
              <w:spacing w:after="60" w:before="40"/>
            </w:pPr>
            <w:r>
              <w:rPr>
                <w:b w:val="0"/>
                <w:sz w:val="18"/>
              </w:rPr>
              <w:t>8</w:t>
            </w:r>
          </w:p>
        </w:tc>
        <w:tc>
          <w:tcPr>
            <w:tcW w:type="dxa" w:w="576"/>
          </w:tcPr>
          <w:p>
            <w:pPr>
              <w:spacing w:after="60" w:before="40"/>
            </w:pPr>
            <w:r>
              <w:rPr>
                <w:b w:val="0"/>
                <w:sz w:val="18"/>
              </w:rPr>
              <w:t>6</w:t>
            </w:r>
          </w:p>
        </w:tc>
        <w:tc>
          <w:tcPr>
            <w:tcW w:type="dxa" w:w="8712"/>
          </w:tcPr>
          <w:p>
            <w:pPr>
              <w:spacing w:after="60" w:before="40"/>
            </w:pPr>
            <w:r>
              <w:rPr>
                <w:b w:val="0"/>
                <w:sz w:val="18"/>
              </w:rPr>
              <w:t>Capture actual evidence and support.</w:t>
            </w:r>
          </w:p>
        </w:tc>
      </w:tr>
      <w:tr>
        <w:tc>
          <w:tcPr>
            <w:tcW w:type="dxa" w:w="648"/>
          </w:tcPr>
          <w:p>
            <w:pPr>
              <w:spacing w:after="60" w:before="40"/>
            </w:pPr>
            <w:r>
              <w:rPr>
                <w:b w:val="0"/>
                <w:sz w:val="18"/>
              </w:rPr>
              <w:t>9</w:t>
            </w:r>
          </w:p>
        </w:tc>
        <w:tc>
          <w:tcPr>
            <w:tcW w:type="dxa" w:w="576"/>
          </w:tcPr>
          <w:p>
            <w:pPr>
              <w:spacing w:after="60" w:before="40"/>
            </w:pPr>
            <w:r>
              <w:rPr>
                <w:b w:val="0"/>
                <w:sz w:val="18"/>
              </w:rPr>
              <w:t>4</w:t>
            </w:r>
          </w:p>
        </w:tc>
        <w:tc>
          <w:tcPr>
            <w:tcW w:type="dxa" w:w="8712"/>
          </w:tcPr>
          <w:p>
            <w:pPr>
              <w:spacing w:after="60" w:before="40"/>
            </w:pPr>
            <w:r>
              <w:rPr>
                <w:b w:val="0"/>
                <w:sz w:val="18"/>
              </w:rPr>
              <w:t>Check ownership, gaps and next step.</w:t>
            </w:r>
          </w:p>
        </w:tc>
      </w:tr>
      <w:tr>
        <w:tc>
          <w:tcPr>
            <w:tcW w:type="dxa" w:w="648"/>
          </w:tcPr>
          <w:p>
            <w:pPr>
              <w:spacing w:after="60" w:before="40"/>
            </w:pPr>
            <w:r>
              <w:rPr>
                <w:b w:val="0"/>
                <w:sz w:val="18"/>
              </w:rPr>
              <w:t>10</w:t>
            </w:r>
          </w:p>
        </w:tc>
        <w:tc>
          <w:tcPr>
            <w:tcW w:type="dxa" w:w="576"/>
          </w:tcPr>
          <w:p>
            <w:pPr>
              <w:spacing w:after="60" w:before="40"/>
            </w:pPr>
            <w:r>
              <w:rPr>
                <w:b w:val="0"/>
                <w:sz w:val="18"/>
              </w:rPr>
              <w:t>2</w:t>
            </w:r>
          </w:p>
        </w:tc>
        <w:tc>
          <w:tcPr>
            <w:tcW w:type="dxa" w:w="8712"/>
          </w:tcPr>
          <w:p>
            <w:pPr>
              <w:spacing w:after="60" w:before="40"/>
            </w:pPr>
            <w:r>
              <w:rPr>
                <w:b w:val="0"/>
                <w:sz w:val="18"/>
              </w:rPr>
              <w:t>Take an individual exit response in the chosen mode. Record one next teaching need; a learner may respond privately.</w:t>
            </w:r>
          </w:p>
        </w:tc>
      </w:tr>
      <w:tr>
        <w:tc>
          <w:tcPr>
            <w:tcW w:type="dxa" w:w="648"/>
          </w:tcPr>
          <w:p>
            <w:pPr>
              <w:spacing w:after="60" w:before="40"/>
            </w:pPr>
            <w:r>
              <w:rPr>
                <w:b w:val="0"/>
                <w:sz w:val="18"/>
              </w:rPr>
              <w:t>11</w:t>
            </w:r>
          </w:p>
        </w:tc>
        <w:tc>
          <w:tcPr>
            <w:tcW w:type="dxa" w:w="576"/>
          </w:tcPr>
          <w:p>
            <w:pPr>
              <w:spacing w:after="60" w:before="40"/>
            </w:pPr>
            <w:r>
              <w:rPr>
                <w:b w:val="0"/>
                <w:sz w:val="18"/>
              </w:rPr>
              <w:t>0</w:t>
            </w:r>
          </w:p>
        </w:tc>
        <w:tc>
          <w:tcPr>
            <w:tcW w:type="dxa" w:w="8712"/>
          </w:tcPr>
          <w:p>
            <w:pPr>
              <w:spacing w:after="60" w:before="40"/>
            </w:pPr>
            <w:r>
              <w:rPr>
                <w:b w:val="0"/>
                <w:sz w:val="18"/>
              </w:rPr>
              <w:t>Keep the vocabulary mat available throughout. Read a word aloud and pair it with a concrete example if needed.</w:t>
            </w:r>
          </w:p>
        </w:tc>
      </w:tr>
      <w:tr>
        <w:tc>
          <w:tcPr>
            <w:tcW w:type="dxa" w:w="648"/>
          </w:tcPr>
          <w:p>
            <w:pPr>
              <w:spacing w:after="60" w:before="40"/>
            </w:pPr>
            <w:r>
              <w:rPr>
                <w:b w:val="0"/>
                <w:sz w:val="18"/>
              </w:rPr>
              <w:t>12</w:t>
            </w:r>
          </w:p>
        </w:tc>
        <w:tc>
          <w:tcPr>
            <w:tcW w:type="dxa" w:w="576"/>
          </w:tcPr>
          <w:p>
            <w:pPr>
              <w:spacing w:after="60" w:before="40"/>
            </w:pPr>
            <w:r>
              <w:rPr>
                <w:b w:val="0"/>
                <w:sz w:val="18"/>
              </w:rPr>
              <w:t>0</w:t>
            </w:r>
          </w:p>
        </w:tc>
        <w:tc>
          <w:tcPr>
            <w:tcW w:type="dxa" w:w="8712"/>
          </w:tcPr>
          <w:p>
            <w:pPr>
              <w:spacing w:after="60" w:before="40"/>
            </w:pPr>
            <w:r>
              <w:rPr>
                <w:b w:val="0"/>
                <w:sz w:val="18"/>
              </w:rPr>
              <w:t>Hidden staff reference.</w:t>
            </w:r>
          </w:p>
        </w:tc>
      </w:tr>
    </w:tbl>
    <w:p>
      <w:pPr>
        <w:pStyle w:val="Heading1"/>
      </w:pPr>
      <w:r>
        <w:rPr>
          <w:b w:val="0"/>
        </w:rPr>
        <w:t>Hinge and reteach</w:t>
      </w:r>
    </w:p>
    <w:p>
      <w:r>
        <w:rPr>
          <w:b w:val="0"/>
        </w:rPr>
        <w:t>B. A missing fact stays to check. A and C invent information or a commitment. Model a short follow-up about hours, then use a new missing detail to recheck understanding.</w:t>
      </w:r>
    </w:p>
    <w:p>
      <w:pPr>
        <w:pStyle w:val="Heading1"/>
      </w:pPr>
      <w:r>
        <w:rPr>
          <w:b w:val="0"/>
        </w:rPr>
        <w:t>Access and task</w:t>
      </w:r>
    </w:p>
    <w:p>
      <w:r>
        <w:rPr>
          <w:b w:val="0"/>
        </w:rPr>
        <w:t>Supported: use a stem and ask one question. Independent: rehearse a call and draft an email. Aspire: adapt the question after a vague reply.</w:t>
      </w:r>
    </w:p>
    <w:p>
      <w:r>
        <w:rPr>
          <w:b w:val="0"/>
        </w:rPr>
        <w:t>In 12 minutes, each learner drafts one question, rehearses a short call with an adult or willing partner, and writes or dictates an email version. Use the reply cards: training is shown at the start; hours are not confirmed. Give one specific prompt and keep the learner’s revision. The supported route may complete one enquiry; record any second mode as not yet.</w:t>
      </w:r>
    </w:p>
    <w:p>
      <w:r>
        <w:rPr>
          <w:b w:val="0"/>
          <w:sz w:val="19"/>
        </w:rPr>
        <w:t>Accept speech, pointing, drawing, writing, scribing or the usual communication aid. Record each learner’s response and support.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Assessment and feedback</w:t>
      </w:r>
    </w:p>
    <w:p>
      <w:r>
        <w:rPr>
          <w:b w:val="0"/>
        </w:rPr>
        <w:t>Look for a relevant question, accurate recording of the reply, no invented vacancy facts and one learner-owned improvement. If a response is scribed, record the exact words and support. Completing a polished adult-written message is not evidence of an independent enquiry. This is formative practice for Week 7.</w:t>
      </w:r>
    </w:p>
    <w:p>
      <w:r>
        <w:rPr>
          <w:b w:val="0"/>
          <w:sz w:val="19"/>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pPr>
        <w:pStyle w:val="Heading1"/>
      </w:pPr>
      <w:r>
        <w:rPr>
          <w:b w:val="0"/>
        </w:rPr>
        <w:t>Learner voice</w:t>
      </w:r>
    </w:p>
    <w:p>
      <w:r>
        <w:rPr>
          <w:b w:val="0"/>
        </w:rPr>
        <w:t>Space: a calm, accessible task.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Ask a relevant question, listen or read for meaning, clarify a reply and revise a message for its audience. The receiving teacher decides how authentic work fits their own portfolio; no criteria are assigned here.</w:t>
      </w:r>
    </w:p>
    <w:p>
      <w:pPr>
        <w:pStyle w:val="Heading1"/>
      </w:pPr>
      <w:r>
        <w:rPr>
          <w:b w:val="0"/>
        </w:rPr>
        <w:t>Reflection and provenance</w:t>
      </w:r>
    </w:p>
    <w:p>
      <w:r>
        <w:rPr>
          <w:b w:val="0"/>
        </w:rPr>
        <w:t>Next teaching need: ______________________________________________</w:t>
        <w:br/>
        <w:t>Learner request and change made: __________________________________</w:t>
      </w:r>
    </w:p>
    <w:p>
      <w:r>
        <w:rPr>
          <w:b w:val="0"/>
          <w:sz w:val="18"/>
        </w:rPr>
        <w:t>Source: scheme_references/LAUNCH_SOW.xlsx, revision uploaded-source-2026-08-10; cells shown above, with weekly block D102/F102. Relevant rows read directly. Calendar: owner order. Tasks, cases and diagrams are newly authored. Sources and limits: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and email enquiries</dc:title>
  <dc:subject>CAREERS-LAUNCH-A2-W05</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