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Telephone and email enquiries</w:t>
      </w:r>
    </w:p>
    <w:p>
      <w:r>
        <w:rPr>
          <w:b w:val="0"/>
        </w:rPr>
        <w:t>These are task guides, not learner observations. Accept a defensible response supported by the actual facts or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864"/>
        <w:gridCol w:w="4104"/>
        <w:gridCol w:w="4968"/>
      </w:tblGrid>
      <w:tr>
        <w:trPr>
          <w:tblHeader/>
        </w:trPr>
        <w:tc>
          <w:tcPr>
            <w:tcW w:type="dxa" w:w="864"/>
          </w:tcPr>
          <w:p>
            <w:pPr>
              <w:spacing w:after="60" w:before="40"/>
            </w:pPr>
            <w:r>
              <w:rPr>
                <w:b/>
                <w:sz w:val="20"/>
              </w:rPr>
              <w:t>Card</w:t>
            </w:r>
          </w:p>
        </w:tc>
        <w:tc>
          <w:tcPr>
            <w:tcW w:type="dxa" w:w="4104"/>
          </w:tcPr>
          <w:p>
            <w:pPr>
              <w:spacing w:after="60" w:before="40"/>
            </w:pPr>
            <w:r>
              <w:rPr>
                <w:b/>
                <w:sz w:val="20"/>
              </w:rPr>
              <w:t>Judgement</w:t>
            </w:r>
          </w:p>
        </w:tc>
        <w:tc>
          <w:tcPr>
            <w:tcW w:type="dxa" w:w="4968"/>
          </w:tcPr>
          <w:p>
            <w:pPr>
              <w:spacing w:after="60" w:before="40"/>
            </w:pPr>
            <w:r>
              <w:rPr>
                <w:b/>
                <w:sz w:val="20"/>
              </w:rPr>
              <w:t>Possible action</w:t>
            </w:r>
          </w:p>
        </w:tc>
      </w:tr>
      <w:tr>
        <w:tc>
          <w:tcPr>
            <w:tcW w:type="dxa" w:w="864"/>
          </w:tcPr>
          <w:p>
            <w:pPr>
              <w:spacing w:after="60" w:before="40"/>
            </w:pPr>
            <w:r>
              <w:rPr>
                <w:b w:val="0"/>
                <w:sz w:val="20"/>
              </w:rPr>
              <w:t>A</w:t>
            </w:r>
          </w:p>
        </w:tc>
        <w:tc>
          <w:tcPr>
            <w:tcW w:type="dxa" w:w="4104"/>
          </w:tcPr>
          <w:p>
            <w:pPr>
              <w:spacing w:after="60" w:before="40"/>
            </w:pPr>
            <w:r>
              <w:rPr>
                <w:b w:val="0"/>
                <w:sz w:val="20"/>
              </w:rPr>
              <w:t>A clear question about the role.</w:t>
            </w:r>
          </w:p>
        </w:tc>
        <w:tc>
          <w:tcPr>
            <w:tcW w:type="dxa" w:w="4968"/>
          </w:tcPr>
          <w:p>
            <w:pPr>
              <w:spacing w:after="60" w:before="40"/>
            </w:pPr>
            <w:r>
              <w:rPr>
                <w:b w:val="0"/>
                <w:sz w:val="20"/>
              </w:rPr>
              <w:t>Give the practice reply, then ask the learner to note the fact.</w:t>
            </w:r>
          </w:p>
        </w:tc>
      </w:tr>
      <w:tr>
        <w:tc>
          <w:tcPr>
            <w:tcW w:type="dxa" w:w="864"/>
          </w:tcPr>
          <w:p>
            <w:pPr>
              <w:spacing w:after="60" w:before="40"/>
            </w:pPr>
            <w:r>
              <w:rPr>
                <w:b w:val="0"/>
                <w:sz w:val="20"/>
              </w:rPr>
              <w:t>B</w:t>
            </w:r>
          </w:p>
        </w:tc>
        <w:tc>
          <w:tcPr>
            <w:tcW w:type="dxa" w:w="4104"/>
          </w:tcPr>
          <w:p>
            <w:pPr>
              <w:spacing w:after="60" w:before="40"/>
            </w:pPr>
            <w:r>
              <w:rPr>
                <w:b w:val="0"/>
                <w:sz w:val="20"/>
              </w:rPr>
              <w:t>Private detail is not needed for this practice.</w:t>
            </w:r>
          </w:p>
        </w:tc>
        <w:tc>
          <w:tcPr>
            <w:tcW w:type="dxa" w:w="4968"/>
          </w:tcPr>
          <w:p>
            <w:pPr>
              <w:spacing w:after="60" w:before="40"/>
            </w:pPr>
            <w:r>
              <w:rPr>
                <w:b w:val="0"/>
                <w:sz w:val="20"/>
              </w:rPr>
              <w:t>Remove it; use only the learner ID on the record.</w:t>
            </w:r>
          </w:p>
        </w:tc>
      </w:tr>
      <w:tr>
        <w:tc>
          <w:tcPr>
            <w:tcW w:type="dxa" w:w="864"/>
          </w:tcPr>
          <w:p>
            <w:pPr>
              <w:spacing w:after="60" w:before="40"/>
            </w:pPr>
            <w:r>
              <w:rPr>
                <w:b w:val="0"/>
                <w:sz w:val="20"/>
              </w:rPr>
              <w:t>C</w:t>
            </w:r>
          </w:p>
        </w:tc>
        <w:tc>
          <w:tcPr>
            <w:tcW w:type="dxa" w:w="4104"/>
          </w:tcPr>
          <w:p>
            <w:pPr>
              <w:spacing w:after="60" w:before="40"/>
            </w:pPr>
            <w:r>
              <w:rPr>
                <w:b w:val="0"/>
                <w:sz w:val="20"/>
              </w:rPr>
              <w:t>A useful check of meaning.</w:t>
            </w:r>
          </w:p>
        </w:tc>
        <w:tc>
          <w:tcPr>
            <w:tcW w:type="dxa" w:w="4968"/>
          </w:tcPr>
          <w:p>
            <w:pPr>
              <w:spacing w:after="60" w:before="40"/>
            </w:pPr>
            <w:r>
              <w:rPr>
                <w:b w:val="0"/>
                <w:sz w:val="20"/>
              </w:rPr>
              <w:t>Repeat in plain words; record what the learner understood.</w:t>
            </w:r>
          </w:p>
        </w:tc>
      </w:tr>
      <w:tr>
        <w:tc>
          <w:tcPr>
            <w:tcW w:type="dxa" w:w="864"/>
          </w:tcPr>
          <w:p>
            <w:pPr>
              <w:spacing w:after="60" w:before="40"/>
            </w:pPr>
            <w:r>
              <w:rPr>
                <w:b w:val="0"/>
                <w:sz w:val="20"/>
              </w:rPr>
              <w:t>D</w:t>
            </w:r>
          </w:p>
        </w:tc>
        <w:tc>
          <w:tcPr>
            <w:tcW w:type="dxa" w:w="4104"/>
          </w:tcPr>
          <w:p>
            <w:pPr>
              <w:spacing w:after="60" w:before="40"/>
            </w:pPr>
            <w:r>
              <w:rPr>
                <w:b w:val="0"/>
                <w:sz w:val="20"/>
              </w:rPr>
              <w:t>The message needs a clear, respectful question.</w:t>
            </w:r>
          </w:p>
        </w:tc>
        <w:tc>
          <w:tcPr>
            <w:tcW w:type="dxa" w:w="4968"/>
          </w:tcPr>
          <w:p>
            <w:pPr>
              <w:spacing w:after="60" w:before="40"/>
            </w:pPr>
            <w:r>
              <w:rPr>
                <w:b w:val="0"/>
                <w:sz w:val="20"/>
              </w:rPr>
              <w:t>Try: Could you tell me how to apply for this role?</w:t>
            </w:r>
          </w:p>
        </w:tc>
      </w:tr>
      <w:tr>
        <w:tc>
          <w:tcPr>
            <w:tcW w:type="dxa" w:w="864"/>
          </w:tcPr>
          <w:p>
            <w:pPr>
              <w:spacing w:after="60" w:before="40"/>
            </w:pPr>
            <w:r>
              <w:rPr>
                <w:b w:val="0"/>
                <w:sz w:val="20"/>
              </w:rPr>
              <w:t>E</w:t>
            </w:r>
          </w:p>
        </w:tc>
        <w:tc>
          <w:tcPr>
            <w:tcW w:type="dxa" w:w="4104"/>
          </w:tcPr>
          <w:p>
            <w:pPr>
              <w:spacing w:after="60" w:before="40"/>
            </w:pPr>
            <w:r>
              <w:rPr>
                <w:b w:val="0"/>
                <w:sz w:val="20"/>
              </w:rPr>
              <w:t>The hours remain unknown.</w:t>
            </w:r>
          </w:p>
        </w:tc>
        <w:tc>
          <w:tcPr>
            <w:tcW w:type="dxa" w:w="4968"/>
          </w:tcPr>
          <w:p>
            <w:pPr>
              <w:spacing w:after="60" w:before="40"/>
            </w:pPr>
            <w:r>
              <w:rPr>
                <w:b w:val="0"/>
                <w:sz w:val="20"/>
              </w:rPr>
              <w:t>Write to check; do not invent a number or agree to it.</w:t>
            </w:r>
          </w:p>
        </w:tc>
      </w:tr>
      <w:tr>
        <w:tc>
          <w:tcPr>
            <w:tcW w:type="dxa" w:w="864"/>
          </w:tcPr>
          <w:p>
            <w:pPr>
              <w:spacing w:after="60" w:before="40"/>
            </w:pPr>
            <w:r>
              <w:rPr>
                <w:b w:val="0"/>
                <w:sz w:val="20"/>
              </w:rPr>
              <w:t>F</w:t>
            </w:r>
          </w:p>
        </w:tc>
        <w:tc>
          <w:tcPr>
            <w:tcW w:type="dxa" w:w="4104"/>
          </w:tcPr>
          <w:p>
            <w:pPr>
              <w:spacing w:after="60" w:before="40"/>
            </w:pPr>
            <w:r>
              <w:rPr>
                <w:b w:val="0"/>
                <w:sz w:val="20"/>
              </w:rPr>
              <w:t>The reader may not know its purpose.</w:t>
            </w:r>
          </w:p>
        </w:tc>
        <w:tc>
          <w:tcPr>
            <w:tcW w:type="dxa" w:w="4968"/>
          </w:tcPr>
          <w:p>
            <w:pPr>
              <w:spacing w:after="60" w:before="40"/>
            </w:pPr>
            <w:r>
              <w:rPr>
                <w:b w:val="0"/>
                <w:sz w:val="20"/>
              </w:rPr>
              <w:t>Add a short subject, one question and a polite closing.</w:t>
            </w:r>
          </w:p>
        </w:tc>
      </w:tr>
    </w:tbl>
    <w:p>
      <w:pPr>
        <w:pStyle w:val="Heading1"/>
      </w:pPr>
      <w:r>
        <w:rPr>
          <w:b w:val="0"/>
        </w:rPr>
        <w:t>Model and hinge</w:t>
      </w:r>
    </w:p>
    <w:p>
      <w:r>
        <w:rPr>
          <w:b w:val="0"/>
        </w:rPr>
        <w:t>Hello. I am asking about the stockroom role. Could you tell me what training is given? Reply: The task is shown at the start. My note: a demo is given at the start. I still need to check the hours. Thank you. I will check that before I apply.</w:t>
      </w:r>
    </w:p>
    <w:p>
      <w:r>
        <w:rPr>
          <w:b w:val="0"/>
        </w:rPr>
        <w:t>B. A missing fact stays to check. A and C invent information or a commitment. Model a short follow-up about hours, then use a new missing detail to recheck understanding.</w:t>
      </w:r>
    </w:p>
    <w:p>
      <w:pPr>
        <w:pStyle w:val="Heading1"/>
      </w:pPr>
      <w:r>
        <w:rPr>
          <w:b w:val="0"/>
        </w:rPr>
        <w:t>Individual evidence key</w:t>
      </w:r>
    </w:p>
    <w:p>
      <w:r>
        <w:rPr>
          <w:b w:val="0"/>
        </w:rPr>
        <w:t>Look for a relevant question, accurate recording of the reply, no invented vacancy facts and one learner-owned improvement. If a response is scribed, record the exact words and support. Completing a polished adult-written message is not evidence of an independent enquiry. This is formative practice for Week 7.</w:t>
      </w:r>
    </w:p>
    <w:p>
      <w:r>
        <w:br w:type="page"/>
      </w:r>
    </w:p>
    <w:p>
      <w:pPr>
        <w:pStyle w:val="Heading1"/>
      </w:pPr>
      <w:r>
        <w:rPr>
          <w:b w:val="0"/>
        </w:rPr>
        <w:t>Feedback boundaries and next teaching</w:t>
      </w:r>
    </w:p>
    <w:p>
      <w:pPr>
        <w:pStyle w:val="Heading1"/>
      </w:pPr>
      <w:r>
        <w:rPr>
          <w:b w:val="0"/>
        </w:rPr>
        <w:t>Teaching checks</w:t>
      </w:r>
    </w:p>
    <w:p>
      <w:r>
        <w:rPr>
          <w:b w:val="0"/>
        </w:rPr>
        <w:t>Card A: A clear question about the role. Give the practice reply, then ask the learner to note the fact.</w:t>
      </w:r>
    </w:p>
    <w:p>
      <w:r>
        <w:rPr>
          <w:b w:val="0"/>
        </w:rPr>
        <w:t>Card B: Private detail is not needed for this practice. Remove it; use only the learner ID on the record.</w:t>
      </w:r>
    </w:p>
    <w:p>
      <w:r>
        <w:rPr>
          <w:b w:val="0"/>
        </w:rPr>
        <w:t>Card C: A useful check of meaning. Repeat in plain words; record what the learner understood.</w:t>
      </w:r>
    </w:p>
    <w:p>
      <w:r>
        <w:rPr>
          <w:b w:val="0"/>
        </w:rPr>
        <w:t>Card D: The message needs a clear, respectful question. Try: Could you tell me how to apply for this role?</w:t>
      </w:r>
    </w:p>
    <w:p>
      <w:r>
        <w:rPr>
          <w:b w:val="0"/>
        </w:rPr>
        <w:t>Card E: The hours remain unknown. Write to check; do not invent a number or agree to it.</w:t>
      </w:r>
    </w:p>
    <w:p>
      <w:r>
        <w:rPr>
          <w:b w:val="0"/>
        </w:rPr>
        <w:t>Card F: The reader may not know its purpose. Add a short subject, one question and a polite closing.</w:t>
      </w:r>
    </w:p>
    <w:p>
      <w:pPr>
        <w:pStyle w:val="Heading1"/>
      </w:pPr>
      <w:r>
        <w:rPr>
          <w:b w:val="0"/>
        </w:rPr>
        <w:t>Common misunderstandings</w:t>
      </w:r>
    </w:p>
    <w:p>
      <w:r>
        <w:rPr>
          <w:b w:val="0"/>
        </w:rPr>
        <w:t>An enquiry asks for information; it is not a job offer or a promise to work. A clear question matters more than a confident voice. A missing fact remains to check. No live communication is needed.</w:t>
      </w:r>
    </w:p>
    <w:p>
      <w:pPr>
        <w:pStyle w:val="Heading1"/>
      </w:pPr>
      <w:r>
        <w:rPr>
          <w:b w:val="0"/>
        </w:rPr>
        <w:t>Teaching boundary</w:t>
      </w:r>
    </w:p>
    <w:p>
      <w:r>
        <w:rPr>
          <w:b w:val="0"/>
        </w:rPr>
        <w:t>Use fictional role briefs and learner IDs. No real names, contacts, addresses, accounts, passwords or referee details. No calls, emails or applications are sent. Offer speech, pointing, writing, scribing or the learner’s usual communication aid. No forced pair work, public performance or personal disclosure. If a concern arises, listen privately and follow the local safeguarding route.</w:t>
      </w:r>
    </w:p>
    <w:p>
      <w:pPr>
        <w:pStyle w:val="Heading1"/>
      </w:pPr>
      <w:r>
        <w:rPr>
          <w:b w:val="0"/>
        </w:rPr>
        <w:t>Feedback and follow-up</w:t>
      </w:r>
    </w:p>
    <w:p>
      <w:r>
        <w:rPr>
          <w:b w:val="0"/>
        </w:rPr>
        <w:t>Use VF · WS · I · NS+ (Yellow Box) · // (self-edit) · ? (read back) · R (responded) · E (evidence in the evidence record). R requires Voice, Audience, a specific NS+ prompt and the learner’s response in their own colour. E is recorded only after actual evidence is banked. Record support and gaps; blank forms and adult models are not completed learner evidence.</w:t>
      </w:r>
    </w:p>
    <w:p>
      <w:r>
        <w:rPr>
          <w:b w:val="0"/>
        </w:rPr>
        <w:t>If evidence is incomplete, name the precise gap and arrange an accessible follow-up. No job offer, registration or award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CAREERS-LAUNCH-A2-W05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15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51C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1C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51C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Telephone and email enquiries</dc:title>
  <dc:subject>CAREERS-LAUNCH-A2-W05</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