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Build an application portfolio</w:t>
      </w:r>
    </w:p>
    <w:p>
      <w:r>
        <w:rPr>
          <w:b w:val="0"/>
        </w:rPr>
        <w:t>Week beginning 7 December 2026 · one 40-minute lesson</w:t>
      </w:r>
    </w:p>
    <w:p>
      <w:r>
        <w:rPr>
          <w:b w:val="0"/>
        </w:rPr>
        <w:t>Actual teaching date __________________  Staff role ______________</w:t>
      </w:r>
    </w:p>
    <w:p>
      <w:r>
        <w:rPr>
          <w:b w:val="0"/>
        </w:rPr>
        <w:t>Year A · Term theme: Identity &amp; Belonging — LAUNCH - Autumn!C19</w:t>
      </w:r>
    </w:p>
    <w:p>
      <w:pPr>
        <w:pStyle w:val="Heading1"/>
      </w:pPr>
      <w:r>
        <w:rPr>
          <w:b w:val="0"/>
        </w:rPr>
        <w:t>Exact scheme cells</w:t>
      </w:r>
    </w:p>
    <w:p>
      <w:r>
        <w:rPr>
          <w:b w:val="0"/>
        </w:rPr>
        <w:t>LAUNCH Weekly - Autumn!C114: Build an application portfolio.</w:t>
      </w:r>
    </w:p>
    <w:p>
      <w:r>
        <w:rPr>
          <w:b w:val="0"/>
        </w:rPr>
        <w:t>LAUNCH - Autumn!D19: Applications, CVs &amp; digital footprint</w:t>
      </w:r>
    </w:p>
    <w:p>
      <w:r>
        <w:rPr>
          <w:b w:val="0"/>
        </w:rPr>
        <w:t>LAUNCH - Autumn!I19: The qualification: accredited units for applications and interviews.</w:t>
      </w:r>
    </w:p>
    <w:p>
      <w:r>
        <w:rPr>
          <w:b w:val="0"/>
        </w:rPr>
        <w:t>LAUNCH - Autumn!J19: F: draft CV feedback.  S: completed CV + mock-interview assessment (Dec data drop).</w:t>
      </w:r>
    </w:p>
    <w:p>
      <w:r>
        <w:rPr>
          <w:b w:val="0"/>
          <w:sz w:val="19"/>
        </w:rPr>
        <w:t>Names in source labels are expressed in plain generic wording. No registration, criterion or qualification completion is inferred.</w:t>
      </w:r>
    </w:p>
    <w:p>
      <w:pPr>
        <w:pStyle w:val="Heading1"/>
      </w:pPr>
      <w:r>
        <w:rPr>
          <w:b w:val="0"/>
        </w:rPr>
        <w:t>Purpose and success checks</w:t>
      </w:r>
    </w:p>
    <w:p>
      <w:r>
        <w:rPr>
          <w:b w:val="0"/>
        </w:rPr>
        <w:t>How can I make my work easy to find and check?</w:t>
      </w:r>
    </w:p>
    <w:p>
      <w:r>
        <w:rPr>
          <w:b w:val="0"/>
        </w:rPr>
        <w:t>I can link each item to a real piece of work. I can check one claim against evidence. I can name a gap and a next step.</w:t>
      </w:r>
    </w:p>
    <w:p>
      <w:r>
        <w:rPr>
          <w:b w:val="0"/>
          <w:sz w:val="19"/>
        </w:rPr>
        <w:t>CAREERS-LAUNCH-A2-W6-E1: An individual portfolio index linked to actual CV/application and supporting items, one evidence-based claim check, a preserved first version and learner-owned improvement, recorded support, visible gaps and a Week 7 next step.</w:t>
      </w:r>
    </w:p>
    <w:p>
      <w:pPr>
        <w:pStyle w:val="Heading1"/>
      </w:pPr>
      <w:r>
        <w:rPr>
          <w:b w:val="0"/>
        </w:rPr>
        <w:t>Before pupils arrive</w:t>
      </w:r>
    </w:p>
    <w:p>
      <w:r>
        <w:rPr>
          <w:b w:val="0"/>
        </w:rPr>
        <w:t>Gather actual work from Weeks 1–5 if available: CV, application, fictional-post review, interview record and enquiry draft. Do not prefill completion. Prepare a paper folder or agreed offline storage location and an index. Use learner IDs on working copies. If prior work is missing, use the blank starter on the support sheet and record the gap.</w:t>
      </w:r>
    </w:p>
    <w:p>
      <w:pPr>
        <w:pStyle w:val="Heading1"/>
      </w:pPr>
      <w:r>
        <w:rPr>
          <w:b w:val="0"/>
        </w:rPr>
        <w:t>Calendar and continuity</w:t>
      </w:r>
    </w:p>
    <w:p>
      <w:r>
        <w:rPr>
          <w:b w:val="0"/>
        </w:rPr>
        <w:t>Year A, Autumn 2 Week 6: 7–11 December 2026. One 40-minute Careers lesson. No day or clock slot is inferred. Week 7 is the assessing lesson. Record actual dates and missing prior work honestly.</w:t>
      </w:r>
    </w:p>
    <w:p>
      <w:pPr>
        <w:pStyle w:val="Heading1"/>
      </w:pPr>
      <w:r>
        <w:rPr>
          <w:b w:val="0"/>
        </w:rPr>
        <w:t>Where this leads</w:t>
      </w:r>
    </w:p>
    <w:p>
      <w:r>
        <w:rPr>
          <w:b w:val="0"/>
        </w:rPr>
        <w:t>This helps me keep clear evidence ready for a work or training application.</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648"/>
        <w:gridCol w:w="576"/>
        <w:gridCol w:w="8712"/>
      </w:tblGrid>
      <w:tr>
        <w:trPr>
          <w:tblHeader/>
        </w:trPr>
        <w:tc>
          <w:tcPr>
            <w:tcW w:type="dxa" w:w="648"/>
          </w:tcPr>
          <w:p>
            <w:pPr>
              <w:spacing w:after="60" w:before="40"/>
            </w:pPr>
            <w:r>
              <w:rPr>
                <w:b/>
                <w:sz w:val="18"/>
              </w:rPr>
              <w:t>Slide</w:t>
            </w:r>
          </w:p>
        </w:tc>
        <w:tc>
          <w:tcPr>
            <w:tcW w:type="dxa" w:w="576"/>
          </w:tcPr>
          <w:p>
            <w:pPr>
              <w:spacing w:after="60" w:before="40"/>
            </w:pPr>
            <w:r>
              <w:rPr>
                <w:b/>
                <w:sz w:val="18"/>
              </w:rPr>
              <w:t>Min</w:t>
            </w:r>
          </w:p>
        </w:tc>
        <w:tc>
          <w:tcPr>
            <w:tcW w:type="dxa" w:w="8712"/>
          </w:tcPr>
          <w:p>
            <w:pPr>
              <w:spacing w:after="60" w:before="40"/>
            </w:pPr>
            <w:r>
              <w:rPr>
                <w:b/>
                <w:sz w:val="18"/>
              </w:rPr>
              <w:t>Action</w:t>
            </w:r>
          </w:p>
        </w:tc>
      </w:tr>
      <w:tr>
        <w:tc>
          <w:tcPr>
            <w:tcW w:type="dxa" w:w="648"/>
          </w:tcPr>
          <w:p>
            <w:pPr>
              <w:spacing w:after="60" w:before="40"/>
            </w:pPr>
            <w:r>
              <w:rPr>
                <w:b w:val="0"/>
                <w:sz w:val="18"/>
              </w:rPr>
              <w:t>1</w:t>
            </w:r>
          </w:p>
        </w:tc>
        <w:tc>
          <w:tcPr>
            <w:tcW w:type="dxa" w:w="576"/>
          </w:tcPr>
          <w:p>
            <w:pPr>
              <w:spacing w:after="60" w:before="40"/>
            </w:pPr>
            <w:r>
              <w:rPr>
                <w:b w:val="0"/>
                <w:sz w:val="18"/>
              </w:rPr>
              <w:t>0</w:t>
            </w:r>
          </w:p>
        </w:tc>
        <w:tc>
          <w:tcPr>
            <w:tcW w:type="dxa" w:w="8712"/>
          </w:tcPr>
          <w:p>
            <w:pPr>
              <w:spacing w:after="60" w:before="40"/>
            </w:pPr>
            <w:r>
              <w:rPr>
                <w:b w:val="0"/>
                <w:sz w:val="18"/>
              </w:rPr>
              <w:t>Open the title and read the big question before starting the timed sequence.</w:t>
            </w:r>
          </w:p>
        </w:tc>
      </w:tr>
      <w:tr>
        <w:tc>
          <w:tcPr>
            <w:tcW w:type="dxa" w:w="648"/>
          </w:tcPr>
          <w:p>
            <w:pPr>
              <w:spacing w:after="60" w:before="40"/>
            </w:pPr>
            <w:r>
              <w:rPr>
                <w:b w:val="0"/>
                <w:sz w:val="18"/>
              </w:rPr>
              <w:t>2</w:t>
            </w:r>
          </w:p>
        </w:tc>
        <w:tc>
          <w:tcPr>
            <w:tcW w:type="dxa" w:w="576"/>
          </w:tcPr>
          <w:p>
            <w:pPr>
              <w:spacing w:after="60" w:before="40"/>
            </w:pPr>
            <w:r>
              <w:rPr>
                <w:b w:val="0"/>
                <w:sz w:val="18"/>
              </w:rPr>
              <w:t>4</w:t>
            </w:r>
          </w:p>
        </w:tc>
        <w:tc>
          <w:tcPr>
            <w:tcW w:type="dxa" w:w="8712"/>
          </w:tcPr>
          <w:p>
            <w:pPr>
              <w:spacing w:after="60" w:before="40"/>
            </w:pPr>
            <w:r>
              <w:rPr>
                <w:b w:val="0"/>
                <w:sz w:val="18"/>
              </w:rPr>
              <w:t>Private check-in and support choice.</w:t>
            </w:r>
          </w:p>
        </w:tc>
      </w:tr>
      <w:tr>
        <w:tc>
          <w:tcPr>
            <w:tcW w:type="dxa" w:w="648"/>
          </w:tcPr>
          <w:p>
            <w:pPr>
              <w:spacing w:after="60" w:before="40"/>
            </w:pPr>
            <w:r>
              <w:rPr>
                <w:b w:val="0"/>
                <w:sz w:val="18"/>
              </w:rPr>
              <w:t>3</w:t>
            </w:r>
          </w:p>
        </w:tc>
        <w:tc>
          <w:tcPr>
            <w:tcW w:type="dxa" w:w="576"/>
          </w:tcPr>
          <w:p>
            <w:pPr>
              <w:spacing w:after="60" w:before="40"/>
            </w:pPr>
            <w:r>
              <w:rPr>
                <w:b w:val="0"/>
                <w:sz w:val="18"/>
              </w:rPr>
              <w:t>2</w:t>
            </w:r>
          </w:p>
        </w:tc>
        <w:tc>
          <w:tcPr>
            <w:tcW w:type="dxa" w:w="8712"/>
          </w:tcPr>
          <w:p>
            <w:pPr>
              <w:spacing w:after="60" w:before="40"/>
            </w:pPr>
            <w:r>
              <w:rPr>
                <w:b w:val="0"/>
                <w:sz w:val="18"/>
              </w:rPr>
              <w:t>Use the diagram to retrieve one useful step. Accept pointing, speech or writing. Do not infer understanding from a nod alone.</w:t>
            </w:r>
          </w:p>
        </w:tc>
      </w:tr>
      <w:tr>
        <w:tc>
          <w:tcPr>
            <w:tcW w:type="dxa" w:w="648"/>
          </w:tcPr>
          <w:p>
            <w:pPr>
              <w:spacing w:after="60" w:before="40"/>
            </w:pPr>
            <w:r>
              <w:rPr>
                <w:b w:val="0"/>
                <w:sz w:val="18"/>
              </w:rPr>
              <w:t>4</w:t>
            </w:r>
          </w:p>
        </w:tc>
        <w:tc>
          <w:tcPr>
            <w:tcW w:type="dxa" w:w="576"/>
          </w:tcPr>
          <w:p>
            <w:pPr>
              <w:spacing w:after="60" w:before="40"/>
            </w:pPr>
            <w:r>
              <w:rPr>
                <w:b w:val="0"/>
                <w:sz w:val="18"/>
              </w:rPr>
              <w:t>0</w:t>
            </w:r>
          </w:p>
        </w:tc>
        <w:tc>
          <w:tcPr>
            <w:tcW w:type="dxa" w:w="8712"/>
          </w:tcPr>
          <w:p>
            <w:pPr>
              <w:spacing w:after="60" w:before="40"/>
            </w:pPr>
            <w:r>
              <w:rPr>
                <w:b w:val="0"/>
                <w:sz w:val="18"/>
              </w:rPr>
              <w:t>Read the exact weekly objective and the three success checks. Explain the careers link in plain words.</w:t>
            </w:r>
          </w:p>
        </w:tc>
      </w:tr>
      <w:tr>
        <w:tc>
          <w:tcPr>
            <w:tcW w:type="dxa" w:w="648"/>
          </w:tcPr>
          <w:p>
            <w:pPr>
              <w:spacing w:after="60" w:before="40"/>
            </w:pPr>
            <w:r>
              <w:rPr>
                <w:b w:val="0"/>
                <w:sz w:val="18"/>
              </w:rPr>
              <w:t>5</w:t>
            </w:r>
          </w:p>
        </w:tc>
        <w:tc>
          <w:tcPr>
            <w:tcW w:type="dxa" w:w="576"/>
          </w:tcPr>
          <w:p>
            <w:pPr>
              <w:spacing w:after="60" w:before="40"/>
            </w:pPr>
            <w:r>
              <w:rPr>
                <w:b w:val="0"/>
                <w:sz w:val="18"/>
              </w:rPr>
              <w:t>5</w:t>
            </w:r>
          </w:p>
        </w:tc>
        <w:tc>
          <w:tcPr>
            <w:tcW w:type="dxa" w:w="8712"/>
          </w:tcPr>
          <w:p>
            <w:pPr>
              <w:spacing w:after="60" w:before="40"/>
            </w:pPr>
            <w:r>
              <w:rPr>
                <w:b w:val="0"/>
                <w:sz w:val="18"/>
              </w:rPr>
              <w:t>Model with the fictional example.</w:t>
            </w:r>
          </w:p>
        </w:tc>
      </w:tr>
      <w:tr>
        <w:tc>
          <w:tcPr>
            <w:tcW w:type="dxa" w:w="648"/>
          </w:tcPr>
          <w:p>
            <w:pPr>
              <w:spacing w:after="60" w:before="40"/>
            </w:pPr>
            <w:r>
              <w:rPr>
                <w:b w:val="0"/>
                <w:sz w:val="18"/>
              </w:rPr>
              <w:t>6</w:t>
            </w:r>
          </w:p>
        </w:tc>
        <w:tc>
          <w:tcPr>
            <w:tcW w:type="dxa" w:w="576"/>
          </w:tcPr>
          <w:p>
            <w:pPr>
              <w:spacing w:after="60" w:before="40"/>
            </w:pPr>
            <w:r>
              <w:rPr>
                <w:b w:val="0"/>
                <w:sz w:val="18"/>
              </w:rPr>
              <w:t>5</w:t>
            </w:r>
          </w:p>
        </w:tc>
        <w:tc>
          <w:tcPr>
            <w:tcW w:type="dxa" w:w="8712"/>
          </w:tcPr>
          <w:p>
            <w:pPr>
              <w:spacing w:after="60" w:before="40"/>
            </w:pPr>
            <w:r>
              <w:rPr>
                <w:b w:val="0"/>
                <w:sz w:val="18"/>
              </w:rPr>
              <w:t>Hinge check; clarify or reteach as needed.</w:t>
            </w:r>
          </w:p>
        </w:tc>
      </w:tr>
      <w:tr>
        <w:tc>
          <w:tcPr>
            <w:tcW w:type="dxa" w:w="648"/>
          </w:tcPr>
          <w:p>
            <w:pPr>
              <w:spacing w:after="60" w:before="40"/>
            </w:pPr>
            <w:r>
              <w:rPr>
                <w:b w:val="0"/>
                <w:sz w:val="18"/>
              </w:rPr>
              <w:t>7</w:t>
            </w:r>
          </w:p>
        </w:tc>
        <w:tc>
          <w:tcPr>
            <w:tcW w:type="dxa" w:w="576"/>
          </w:tcPr>
          <w:p>
            <w:pPr>
              <w:spacing w:after="60" w:before="40"/>
            </w:pPr>
            <w:r>
              <w:rPr>
                <w:b w:val="0"/>
                <w:sz w:val="18"/>
              </w:rPr>
              <w:t>12</w:t>
            </w:r>
          </w:p>
        </w:tc>
        <w:tc>
          <w:tcPr>
            <w:tcW w:type="dxa" w:w="8712"/>
          </w:tcPr>
          <w:p>
            <w:pPr>
              <w:spacing w:after="60" w:before="40"/>
            </w:pPr>
            <w:r>
              <w:rPr>
                <w:b w:val="0"/>
                <w:sz w:val="18"/>
              </w:rPr>
              <w:t>Use the task and access routes below.</w:t>
            </w:r>
          </w:p>
        </w:tc>
      </w:tr>
      <w:tr>
        <w:tc>
          <w:tcPr>
            <w:tcW w:type="dxa" w:w="648"/>
          </w:tcPr>
          <w:p>
            <w:pPr>
              <w:spacing w:after="60" w:before="40"/>
            </w:pPr>
            <w:r>
              <w:rPr>
                <w:b w:val="0"/>
                <w:sz w:val="18"/>
              </w:rPr>
              <w:t>8</w:t>
            </w:r>
          </w:p>
        </w:tc>
        <w:tc>
          <w:tcPr>
            <w:tcW w:type="dxa" w:w="576"/>
          </w:tcPr>
          <w:p>
            <w:pPr>
              <w:spacing w:after="60" w:before="40"/>
            </w:pPr>
            <w:r>
              <w:rPr>
                <w:b w:val="0"/>
                <w:sz w:val="18"/>
              </w:rPr>
              <w:t>6</w:t>
            </w:r>
          </w:p>
        </w:tc>
        <w:tc>
          <w:tcPr>
            <w:tcW w:type="dxa" w:w="8712"/>
          </w:tcPr>
          <w:p>
            <w:pPr>
              <w:spacing w:after="60" w:before="40"/>
            </w:pPr>
            <w:r>
              <w:rPr>
                <w:b w:val="0"/>
                <w:sz w:val="18"/>
              </w:rPr>
              <w:t>Capture actual evidence and support.</w:t>
            </w:r>
          </w:p>
        </w:tc>
      </w:tr>
      <w:tr>
        <w:tc>
          <w:tcPr>
            <w:tcW w:type="dxa" w:w="648"/>
          </w:tcPr>
          <w:p>
            <w:pPr>
              <w:spacing w:after="60" w:before="40"/>
            </w:pPr>
            <w:r>
              <w:rPr>
                <w:b w:val="0"/>
                <w:sz w:val="18"/>
              </w:rPr>
              <w:t>9</w:t>
            </w:r>
          </w:p>
        </w:tc>
        <w:tc>
          <w:tcPr>
            <w:tcW w:type="dxa" w:w="576"/>
          </w:tcPr>
          <w:p>
            <w:pPr>
              <w:spacing w:after="60" w:before="40"/>
            </w:pPr>
            <w:r>
              <w:rPr>
                <w:b w:val="0"/>
                <w:sz w:val="18"/>
              </w:rPr>
              <w:t>4</w:t>
            </w:r>
          </w:p>
        </w:tc>
        <w:tc>
          <w:tcPr>
            <w:tcW w:type="dxa" w:w="8712"/>
          </w:tcPr>
          <w:p>
            <w:pPr>
              <w:spacing w:after="60" w:before="40"/>
            </w:pPr>
            <w:r>
              <w:rPr>
                <w:b w:val="0"/>
                <w:sz w:val="18"/>
              </w:rPr>
              <w:t>Check ownership, gaps and next step.</w:t>
            </w:r>
          </w:p>
        </w:tc>
      </w:tr>
      <w:tr>
        <w:tc>
          <w:tcPr>
            <w:tcW w:type="dxa" w:w="648"/>
          </w:tcPr>
          <w:p>
            <w:pPr>
              <w:spacing w:after="60" w:before="40"/>
            </w:pPr>
            <w:r>
              <w:rPr>
                <w:b w:val="0"/>
                <w:sz w:val="18"/>
              </w:rPr>
              <w:t>10</w:t>
            </w:r>
          </w:p>
        </w:tc>
        <w:tc>
          <w:tcPr>
            <w:tcW w:type="dxa" w:w="576"/>
          </w:tcPr>
          <w:p>
            <w:pPr>
              <w:spacing w:after="60" w:before="40"/>
            </w:pPr>
            <w:r>
              <w:rPr>
                <w:b w:val="0"/>
                <w:sz w:val="18"/>
              </w:rPr>
              <w:t>2</w:t>
            </w:r>
          </w:p>
        </w:tc>
        <w:tc>
          <w:tcPr>
            <w:tcW w:type="dxa" w:w="8712"/>
          </w:tcPr>
          <w:p>
            <w:pPr>
              <w:spacing w:after="60" w:before="40"/>
            </w:pPr>
            <w:r>
              <w:rPr>
                <w:b w:val="0"/>
                <w:sz w:val="18"/>
              </w:rPr>
              <w:t>Take an individual exit response in the chosen mode. Record one next teaching need; a learner may respond privately.</w:t>
            </w:r>
          </w:p>
        </w:tc>
      </w:tr>
      <w:tr>
        <w:tc>
          <w:tcPr>
            <w:tcW w:type="dxa" w:w="648"/>
          </w:tcPr>
          <w:p>
            <w:pPr>
              <w:spacing w:after="60" w:before="40"/>
            </w:pPr>
            <w:r>
              <w:rPr>
                <w:b w:val="0"/>
                <w:sz w:val="18"/>
              </w:rPr>
              <w:t>11</w:t>
            </w:r>
          </w:p>
        </w:tc>
        <w:tc>
          <w:tcPr>
            <w:tcW w:type="dxa" w:w="576"/>
          </w:tcPr>
          <w:p>
            <w:pPr>
              <w:spacing w:after="60" w:before="40"/>
            </w:pPr>
            <w:r>
              <w:rPr>
                <w:b w:val="0"/>
                <w:sz w:val="18"/>
              </w:rPr>
              <w:t>0</w:t>
            </w:r>
          </w:p>
        </w:tc>
        <w:tc>
          <w:tcPr>
            <w:tcW w:type="dxa" w:w="8712"/>
          </w:tcPr>
          <w:p>
            <w:pPr>
              <w:spacing w:after="60" w:before="40"/>
            </w:pPr>
            <w:r>
              <w:rPr>
                <w:b w:val="0"/>
                <w:sz w:val="18"/>
              </w:rPr>
              <w:t>Keep the vocabulary mat available throughout. Read a word aloud and pair it with a concrete example if needed.</w:t>
            </w:r>
          </w:p>
        </w:tc>
      </w:tr>
      <w:tr>
        <w:tc>
          <w:tcPr>
            <w:tcW w:type="dxa" w:w="648"/>
          </w:tcPr>
          <w:p>
            <w:pPr>
              <w:spacing w:after="60" w:before="40"/>
            </w:pPr>
            <w:r>
              <w:rPr>
                <w:b w:val="0"/>
                <w:sz w:val="18"/>
              </w:rPr>
              <w:t>12</w:t>
            </w:r>
          </w:p>
        </w:tc>
        <w:tc>
          <w:tcPr>
            <w:tcW w:type="dxa" w:w="576"/>
          </w:tcPr>
          <w:p>
            <w:pPr>
              <w:spacing w:after="60" w:before="40"/>
            </w:pPr>
            <w:r>
              <w:rPr>
                <w:b w:val="0"/>
                <w:sz w:val="18"/>
              </w:rPr>
              <w:t>0</w:t>
            </w:r>
          </w:p>
        </w:tc>
        <w:tc>
          <w:tcPr>
            <w:tcW w:type="dxa" w:w="8712"/>
          </w:tcPr>
          <w:p>
            <w:pPr>
              <w:spacing w:after="60" w:before="40"/>
            </w:pPr>
            <w:r>
              <w:rPr>
                <w:b w:val="0"/>
                <w:sz w:val="18"/>
              </w:rPr>
              <w:t>Hidden staff reference.</w:t>
            </w:r>
          </w:p>
        </w:tc>
      </w:tr>
    </w:tbl>
    <w:p>
      <w:pPr>
        <w:pStyle w:val="Heading1"/>
      </w:pPr>
      <w:r>
        <w:rPr>
          <w:b w:val="0"/>
        </w:rPr>
        <w:t>Hinge and reteach</w:t>
      </w:r>
    </w:p>
    <w:p>
      <w:r>
        <w:rPr>
          <w:b w:val="0"/>
        </w:rPr>
        <w:t>B. An index points to evidence; it is not the evidence itself. A hides the gap and C misstates authorship. Recheck using a missing interview record. Accept a clear location or an honest not-yet entry.</w:t>
      </w:r>
    </w:p>
    <w:p>
      <w:pPr>
        <w:pStyle w:val="Heading1"/>
      </w:pPr>
      <w:r>
        <w:rPr>
          <w:b w:val="0"/>
        </w:rPr>
        <w:t>Access and task</w:t>
      </w:r>
    </w:p>
    <w:p>
      <w:r>
        <w:rPr>
          <w:b w:val="0"/>
        </w:rPr>
        <w:t>Supported: find and label two actual items. Independent: index the work and improve one item. Aspire: check how a claim fits the role.</w:t>
      </w:r>
    </w:p>
    <w:p>
      <w:r>
        <w:rPr>
          <w:b w:val="0"/>
        </w:rPr>
        <w:t>Use the first four minutes to find and label actual items. Use five minutes to check one claim against a piece of work and improve it after a specific prompt. Use the last three minutes to build the index with honest ready, draft or missing entries. Each learner chooses one next step for Week 7. The six-minute capture links the record to the actual files or pages.</w:t>
      </w:r>
    </w:p>
    <w:p>
      <w:r>
        <w:rPr>
          <w:b w:val="0"/>
          <w:sz w:val="19"/>
        </w:rPr>
        <w:t>Accept speech, pointing, drawing, writing, scribing or the usual communication aid. Record each learner’s response and support.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fictional role briefs and learner IDs. No real names, contacts, addresses, accounts, passwords or referee details. No calls, emails or applications are sent. Offer speech, pointing, writing, scribing or the learner’s usual communication aid. No forced pair work, public performance or personal disclosure. If a concern arises, listen privately and follow the local safeguarding route.</w:t>
      </w:r>
    </w:p>
    <w:p>
      <w:pPr>
        <w:pStyle w:val="Heading1"/>
      </w:pPr>
      <w:r>
        <w:rPr>
          <w:b w:val="0"/>
        </w:rPr>
        <w:t>Assessment and feedback</w:t>
      </w:r>
    </w:p>
    <w:p>
      <w:r>
        <w:rPr>
          <w:b w:val="0"/>
        </w:rPr>
        <w:t>Check every ready entry against an actual accessible item. Check ownership and support, not folder decoration or handwriting. Record the distinction between missing, draft and ready. An index or empty template is not a completed portfolio. Week 6 prepares the assessment; it does not award completion in advance.</w:t>
      </w:r>
    </w:p>
    <w:p>
      <w:r>
        <w:rPr>
          <w:b w:val="0"/>
          <w:sz w:val="19"/>
        </w:rPr>
        <w:t>Use VF · WS · I · NS+ (Yellow Box) · // (self-edit) · ? (read back) · R (responded) · E (evidence in the evidence record). R requires Voice, Audience, a specific NS+ prompt and the learner’s response in their own colour. E is recorded only after actual evidence is banked. Record support and gaps; blank forms and adult models are not completed learner evidence.</w:t>
      </w:r>
    </w:p>
    <w:p>
      <w:pPr>
        <w:pStyle w:val="Heading1"/>
      </w:pPr>
      <w:r>
        <w:rPr>
          <w:b w:val="0"/>
        </w:rPr>
        <w:t>Learner voice</w:t>
      </w:r>
    </w:p>
    <w:p>
      <w:r>
        <w:rPr>
          <w:b w:val="0"/>
        </w:rPr>
        <w:t>Space: a calm, accessible task.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Explain why an item supports a claim, listen to feedback and show the change made. The receiving teacher maps authentic work to their own portfolio; no communication criteria are assigned here.</w:t>
      </w:r>
    </w:p>
    <w:p>
      <w:pPr>
        <w:pStyle w:val="Heading1"/>
      </w:pPr>
      <w:r>
        <w:rPr>
          <w:b w:val="0"/>
        </w:rPr>
        <w:t>Reflection and provenance</w:t>
      </w:r>
    </w:p>
    <w:p>
      <w:r>
        <w:rPr>
          <w:b w:val="0"/>
        </w:rPr>
        <w:t>Next teaching need: ______________________________________________</w:t>
        <w:br/>
        <w:t>Learner request and change made: __________________________________</w:t>
      </w:r>
    </w:p>
    <w:p>
      <w:r>
        <w:rPr>
          <w:b w:val="0"/>
          <w:sz w:val="18"/>
        </w:rPr>
        <w:t>Source: scheme_references/LAUNCH_SOW.xlsx, revision uploaded-source-2026-08-10; cells shown above, with weekly block D102/F102. Relevant rows read directly. Calendar: owner order. Tasks, cases and diagrams are newly authored. Sources and limits: FACTS_LEDGER.md.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CAREERS-LAUNCH-A2-W06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151C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51C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1C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51C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an application portfolio</dc:title>
  <dc:subject>CAREERS-LAUNCH-A2-W06</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