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CV and application portfolio review</w:t>
      </w:r>
    </w:p>
    <w:p>
      <w:r>
        <w:rPr>
          <w:b w:val="0"/>
        </w:rPr>
        <w:t>These are task guides, not learner observations. Accept a defensible response supported by the actual facts or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Record what the CV and explanation actually show.</w:t>
            </w:r>
          </w:p>
        </w:tc>
        <w:tc>
          <w:tcPr>
            <w:tcW w:type="dxa" w:w="4968"/>
          </w:tcPr>
          <w:p>
            <w:pPr>
              <w:spacing w:after="60" w:before="40"/>
            </w:pPr>
            <w:r>
              <w:rPr>
                <w:b w:val="0"/>
                <w:sz w:val="20"/>
              </w:rPr>
              <w:t>Link the page or file; note the response mode and support.</w:t>
            </w:r>
          </w:p>
        </w:tc>
      </w:tr>
      <w:tr>
        <w:tc>
          <w:tcPr>
            <w:tcW w:type="dxa" w:w="864"/>
          </w:tcPr>
          <w:p>
            <w:pPr>
              <w:spacing w:after="60" w:before="40"/>
            </w:pPr>
            <w:r>
              <w:rPr>
                <w:b w:val="0"/>
                <w:sz w:val="20"/>
              </w:rPr>
              <w:t>B</w:t>
            </w:r>
          </w:p>
        </w:tc>
        <w:tc>
          <w:tcPr>
            <w:tcW w:type="dxa" w:w="4104"/>
          </w:tcPr>
          <w:p>
            <w:pPr>
              <w:spacing w:after="60" w:before="40"/>
            </w:pPr>
            <w:r>
              <w:rPr>
                <w:b w:val="0"/>
                <w:sz w:val="20"/>
              </w:rPr>
              <w:t>Record not yet for that evidence.</w:t>
            </w:r>
          </w:p>
        </w:tc>
        <w:tc>
          <w:tcPr>
            <w:tcW w:type="dxa" w:w="4968"/>
          </w:tcPr>
          <w:p>
            <w:pPr>
              <w:spacing w:after="60" w:before="40"/>
            </w:pPr>
            <w:r>
              <w:rPr>
                <w:b w:val="0"/>
                <w:sz w:val="20"/>
              </w:rPr>
              <w:t>Name the gap and plan a supported follow-up.</w:t>
            </w:r>
          </w:p>
        </w:tc>
      </w:tr>
      <w:tr>
        <w:tc>
          <w:tcPr>
            <w:tcW w:type="dxa" w:w="864"/>
          </w:tcPr>
          <w:p>
            <w:pPr>
              <w:spacing w:after="60" w:before="40"/>
            </w:pPr>
            <w:r>
              <w:rPr>
                <w:b w:val="0"/>
                <w:sz w:val="20"/>
              </w:rPr>
              <w:t>C</w:t>
            </w:r>
          </w:p>
        </w:tc>
        <w:tc>
          <w:tcPr>
            <w:tcW w:type="dxa" w:w="4104"/>
          </w:tcPr>
          <w:p>
            <w:pPr>
              <w:spacing w:after="60" w:before="40"/>
            </w:pPr>
            <w:r>
              <w:rPr>
                <w:b w:val="0"/>
                <w:sz w:val="20"/>
              </w:rPr>
              <w:t>The response may still be the learner’s own.</w:t>
            </w:r>
          </w:p>
        </w:tc>
        <w:tc>
          <w:tcPr>
            <w:tcW w:type="dxa" w:w="4968"/>
          </w:tcPr>
          <w:p>
            <w:pPr>
              <w:spacing w:after="60" w:before="40"/>
            </w:pPr>
            <w:r>
              <w:rPr>
                <w:b w:val="0"/>
                <w:sz w:val="20"/>
              </w:rPr>
              <w:t>Record content and support; do not judge speed or eye contact.</w:t>
            </w:r>
          </w:p>
        </w:tc>
      </w:tr>
      <w:tr>
        <w:tc>
          <w:tcPr>
            <w:tcW w:type="dxa" w:w="864"/>
          </w:tcPr>
          <w:p>
            <w:pPr>
              <w:spacing w:after="60" w:before="40"/>
            </w:pPr>
            <w:r>
              <w:rPr>
                <w:b w:val="0"/>
                <w:sz w:val="20"/>
              </w:rPr>
              <w:t>D</w:t>
            </w:r>
          </w:p>
        </w:tc>
        <w:tc>
          <w:tcPr>
            <w:tcW w:type="dxa" w:w="4104"/>
          </w:tcPr>
          <w:p>
            <w:pPr>
              <w:spacing w:after="60" w:before="40"/>
            </w:pPr>
            <w:r>
              <w:rPr>
                <w:b w:val="0"/>
                <w:sz w:val="20"/>
              </w:rPr>
              <w:t>The reason is prompted, not independently demonstrated.</w:t>
            </w:r>
          </w:p>
        </w:tc>
        <w:tc>
          <w:tcPr>
            <w:tcW w:type="dxa" w:w="4968"/>
          </w:tcPr>
          <w:p>
            <w:pPr>
              <w:spacing w:after="60" w:before="40"/>
            </w:pPr>
            <w:r>
              <w:rPr>
                <w:b w:val="0"/>
                <w:sz w:val="20"/>
              </w:rPr>
              <w:t>Record the prompt and the later response separately.</w:t>
            </w:r>
          </w:p>
        </w:tc>
      </w:tr>
      <w:tr>
        <w:tc>
          <w:tcPr>
            <w:tcW w:type="dxa" w:w="864"/>
          </w:tcPr>
          <w:p>
            <w:pPr>
              <w:spacing w:after="60" w:before="40"/>
            </w:pPr>
            <w:r>
              <w:rPr>
                <w:b w:val="0"/>
                <w:sz w:val="20"/>
              </w:rPr>
              <w:t>E</w:t>
            </w:r>
          </w:p>
        </w:tc>
        <w:tc>
          <w:tcPr>
            <w:tcW w:type="dxa" w:w="4104"/>
          </w:tcPr>
          <w:p>
            <w:pPr>
              <w:spacing w:after="60" w:before="40"/>
            </w:pPr>
            <w:r>
              <w:rPr>
                <w:b w:val="0"/>
                <w:sz w:val="20"/>
              </w:rPr>
              <w:t>The later response shows a response to feedback.</w:t>
            </w:r>
          </w:p>
        </w:tc>
        <w:tc>
          <w:tcPr>
            <w:tcW w:type="dxa" w:w="4968"/>
          </w:tcPr>
          <w:p>
            <w:pPr>
              <w:spacing w:after="60" w:before="40"/>
            </w:pPr>
            <w:r>
              <w:rPr>
                <w:b w:val="0"/>
                <w:sz w:val="20"/>
              </w:rPr>
              <w:t>Keep the first response and the change; do not overwrite the first.</w:t>
            </w:r>
          </w:p>
        </w:tc>
      </w:tr>
      <w:tr>
        <w:tc>
          <w:tcPr>
            <w:tcW w:type="dxa" w:w="864"/>
          </w:tcPr>
          <w:p>
            <w:pPr>
              <w:spacing w:after="60" w:before="40"/>
            </w:pPr>
            <w:r>
              <w:rPr>
                <w:b w:val="0"/>
                <w:sz w:val="20"/>
              </w:rPr>
              <w:t>F</w:t>
            </w:r>
          </w:p>
        </w:tc>
        <w:tc>
          <w:tcPr>
            <w:tcW w:type="dxa" w:w="4104"/>
          </w:tcPr>
          <w:p>
            <w:pPr>
              <w:spacing w:after="60" w:before="40"/>
            </w:pPr>
            <w:r>
              <w:rPr>
                <w:b w:val="0"/>
                <w:sz w:val="20"/>
              </w:rPr>
              <w:t>Availability is not established.</w:t>
            </w:r>
          </w:p>
        </w:tc>
        <w:tc>
          <w:tcPr>
            <w:tcW w:type="dxa" w:w="4968"/>
          </w:tcPr>
          <w:p>
            <w:pPr>
              <w:spacing w:after="60" w:before="40"/>
            </w:pPr>
            <w:r>
              <w:rPr>
                <w:b w:val="0"/>
                <w:sz w:val="20"/>
              </w:rPr>
              <w:t>Record the access gap and arrange a check; do not infer attainment.</w:t>
            </w:r>
          </w:p>
        </w:tc>
      </w:tr>
    </w:tbl>
    <w:p>
      <w:pPr>
        <w:pStyle w:val="Heading1"/>
      </w:pPr>
      <w:r>
        <w:rPr>
          <w:b w:val="0"/>
        </w:rPr>
        <w:t>Model and hinge</w:t>
      </w:r>
    </w:p>
    <w:p>
      <w:r>
        <w:rPr>
          <w:b w:val="0"/>
        </w:rPr>
        <w:t>Use your own CV and application work. Use the made-up role brief. The adult will ask three short questions. You can ask for a question to be explained. Use your usual aid; record the help used. A missing item is marked not yet.</w:t>
      </w:r>
    </w:p>
    <w:p>
      <w:r>
        <w:rPr>
          <w:b w:val="0"/>
        </w:rPr>
        <w:t>B. Assessment records what was actually shown. A and C misstate the evidence. This procedural check is not the assessed interview. After it, keep adult prompts separate from each learner’s independent response.</w:t>
      </w:r>
    </w:p>
    <w:p>
      <w:pPr>
        <w:pStyle w:val="Heading1"/>
      </w:pPr>
      <w:r>
        <w:rPr>
          <w:b w:val="0"/>
        </w:rPr>
        <w:t>Individual evidence key</w:t>
      </w:r>
    </w:p>
    <w:p>
      <w:r>
        <w:rPr>
          <w:b w:val="0"/>
        </w:rPr>
        <w:t>This is the assessing lesson. Use the local teaching checks: CV shows relevant skills with a true example; application addresses the fictional role and is clear enough to follow; interview answer gives a relevant example or explains a sensible help request. For each, record shown independently, shown with support or not yet, alongside evidence and the precise support. These are teaching judgements, not awarding-body criteria or a qualification completion decision. Do not assess eye contact, accent, speaking speed or confidence. Preserve initial evidence before feedback.</w:t>
      </w:r>
    </w:p>
    <w:p>
      <w:r>
        <w:br w:type="page"/>
      </w:r>
    </w:p>
    <w:p>
      <w:pPr>
        <w:pStyle w:val="Heading1"/>
      </w:pPr>
      <w:r>
        <w:rPr>
          <w:b w:val="0"/>
        </w:rPr>
        <w:t>Feedback boundaries and next teaching</w:t>
      </w:r>
    </w:p>
    <w:p>
      <w:pPr>
        <w:pStyle w:val="Heading1"/>
      </w:pPr>
      <w:r>
        <w:rPr>
          <w:b w:val="0"/>
        </w:rPr>
        <w:t>Teaching checks</w:t>
      </w:r>
    </w:p>
    <w:p>
      <w:r>
        <w:rPr>
          <w:b w:val="0"/>
        </w:rPr>
        <w:t>CV: Relevant skill with a true example and identifiable learner contribution.</w:t>
      </w:r>
    </w:p>
    <w:p>
      <w:r>
        <w:rPr>
          <w:b w:val="0"/>
        </w:rPr>
        <w:t>Application: Response addresses the fictional role and is clear enough to follow.</w:t>
      </w:r>
    </w:p>
    <w:p>
      <w:r>
        <w:rPr>
          <w:b w:val="0"/>
        </w:rPr>
        <w:t>Interview: Relevant example or sensible help request, with actual prompts recorded.</w:t>
      </w:r>
    </w:p>
    <w:p>
      <w:r>
        <w:rPr>
          <w:b w:val="0"/>
        </w:rPr>
        <w:t>Record independently, with support or not yet for each check. Link the actual item or response. These are local teaching checks; do not translate them into unprovided qualification criteria.</w:t>
      </w:r>
    </w:p>
    <w:p>
      <w:pPr>
        <w:pStyle w:val="Heading1"/>
      </w:pPr>
      <w:r>
        <w:rPr>
          <w:b w:val="0"/>
        </w:rPr>
        <w:t>Common misunderstandings</w:t>
      </w:r>
    </w:p>
    <w:p>
      <w:r>
        <w:rPr>
          <w:b w:val="0"/>
        </w:rPr>
        <w:t>A finished folder does not by itself show understanding. The assessor must inspect the work and capture the learner’s own response. A prompted answer and an independent answer are recorded differently. Support is described without judging personality.</w:t>
      </w:r>
    </w:p>
    <w:p>
      <w:pPr>
        <w:pStyle w:val="Heading1"/>
      </w:pPr>
      <w:r>
        <w:rPr>
          <w:b w:val="0"/>
        </w:rPr>
        <w:t>Teaching boundary</w:t>
      </w:r>
    </w:p>
    <w:p>
      <w:r>
        <w:rPr>
          <w:b w:val="0"/>
        </w:rPr>
        <w:t>Use fictional role briefs and learner IDs. No real names, contacts, addresses, accounts, passwords or referee details. No calls, emails or applications are sent. Offer speech, pointing, writing, scribing or the learner’s usual communication aid. No forced pair work, public performance or personal disclosure. If a concern arises, listen privately and follow the local safeguarding route.</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learner’s response in their own colour. E is recorded only after actual evidence is banked. Record support and gaps; blank forms and adult models are not completed learner evidence.</w:t>
      </w:r>
    </w:p>
    <w:p>
      <w:r>
        <w:rPr>
          <w:b w:val="0"/>
        </w:rPr>
        <w:t>If evidence is incomplete, name the precise gap and arrange an accessible follow-up. No job offer, registration or award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CAREERS-LAUNCH-A2-W07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and application portfolio review</dc:title>
  <dc:subject>CAREERS-LAUNCH-A2-W07</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