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Materials tools and safe work</w:t>
      </w:r>
    </w:p>
    <w:p>
      <w:r>
        <w:rPr>
          <w:b w:val="0"/>
        </w:rPr>
        <w:t>Tuesday 3–Friday 6 November 2026 · one 40-minute lesson</w:t>
      </w:r>
    </w:p>
    <w:p>
      <w:r>
        <w:rPr>
          <w:b w:val="0"/>
        </w:rPr>
        <w:t>Teaching date: __________________   Teacher: __________________</w:t>
      </w:r>
    </w:p>
    <w:p>
      <w:pPr>
        <w:pStyle w:val="Heading1"/>
      </w:pPr>
      <w:r>
        <w:rPr>
          <w:b w:val="0"/>
        </w:rPr>
        <w:t>Exact scheme cells</w:t>
      </w:r>
    </w:p>
    <w:p>
      <w:r>
        <w:rPr>
          <w:b w:val="0"/>
        </w:rPr>
        <w:t>LAUNCH Weekly - Autumn!C236</w:t>
        <w:br/>
        <w:t>CONSTRUCTION: identify materials, tools and safety.</w:t>
      </w:r>
    </w:p>
    <w:p>
      <w:r>
        <w:rPr>
          <w:b w:val="0"/>
        </w:rPr>
        <w:t>LAUNCH - Autumn!D33</w:t>
        <w:br/>
        <w:t>Construction &amp; making: safe structures</w:t>
      </w:r>
    </w:p>
    <w:p>
      <w:r>
        <w:rPr>
          <w:b w:val="0"/>
        </w:rPr>
        <w:t>LAUNCH - Autumn!I33</w:t>
        <w:br/>
        <w:t>[AWARD] [QUAL] (Level 1/2); [AWARD] [QUAL] '[QUAL]', '[QUAL]'.</w:t>
      </w:r>
    </w:p>
    <w:p>
      <w:r>
        <w:rPr>
          <w:b w:val="0"/>
        </w:rPr>
        <w:t>LAUNCH - Autumn!J33</w:t>
        <w:br/>
        <w:t>F: safe-working observation.  S: constructed product + evaluation (data drop).</w:t>
      </w:r>
    </w:p>
    <w:p>
      <w:r>
        <w:rPr>
          <w:b w:val="0"/>
        </w:rPr>
        <w:t>This lesson supplies formative work. The scheme places building in Week 3 and testing/evaluation in Week 4; this pack does not claim a completed product or award. Public award labels are masked only.</w:t>
      </w:r>
    </w:p>
    <w:p>
      <w:pPr>
        <w:pStyle w:val="Heading1"/>
      </w:pPr>
      <w:r>
        <w:rPr>
          <w:b w:val="0"/>
        </w:rPr>
        <w:t>Purpose and success checks</w:t>
      </w:r>
    </w:p>
    <w:p>
      <w:r>
        <w:rPr>
          <w:b w:val="0"/>
        </w:rPr>
        <w:t>How can we get ready to make a model?</w:t>
      </w:r>
    </w:p>
    <w:p>
      <w:r>
        <w:rPr>
          <w:b w:val="0"/>
        </w:rPr>
        <w:t>I can name two materials and two tools. I can say what a tool helps us do. I can spot a hazard and a safe action.</w:t>
      </w:r>
    </w:p>
    <w:p>
      <w:r>
        <w:rPr>
          <w:b w:val="0"/>
        </w:rPr>
        <w:t>LAUNCH-DT-W1-E1: Individual material and tool identification, a sample observation and a hazard with a safe action; record actual support and response to feedback.</w:t>
      </w:r>
    </w:p>
    <w:p>
      <w:pPr>
        <w:pStyle w:val="Heading1"/>
      </w:pPr>
      <w:r>
        <w:rPr>
          <w:b w:val="0"/>
        </w:rPr>
        <w:t>Before pupils arrive</w:t>
      </w:r>
    </w:p>
    <w:p>
      <w:r>
        <w:rPr>
          <w:b w:val="0"/>
        </w:rPr>
        <w:t>Prepare equal-size paper and card samples, a safe tape sample on backing card, rulers, pencils and tool trays. Keep actual scissors and cutting tools out of the pupil task. Print the two-page Evidence Sheet, three-page Support Cards and Vocabulary Mat. Read the Staff Answers.</w:t>
      </w:r>
    </w:p>
    <w:p>
      <w:r>
        <w:rPr>
          <w:b w:val="0"/>
        </w:rPr>
        <w:t>Check local risk controls and individual access needs. Offer a quiet seat, processing time and help with grip or ruler control. Pupils may work beside a peer or with an adult; capture each person’s own work.</w:t>
      </w:r>
    </w:p>
    <w:p>
      <w:pPr>
        <w:pStyle w:val="Heading1"/>
      </w:pPr>
      <w:r>
        <w:rPr>
          <w:b w:val="0"/>
        </w:rPr>
        <w:t>Calendar</w:t>
      </w:r>
    </w:p>
    <w:p>
      <w:r>
        <w:rPr>
          <w:b w:val="0"/>
        </w:rPr>
        <w:t>W1 starts Tuesday 3 November; Monday 2 November is a training day. The owner’s D&amp;T allocation is one period a week. No fixed day or clock slot was supplied. Enter the actual date above.</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936"/>
        <w:gridCol w:w="648"/>
        <w:gridCol w:w="8352"/>
      </w:tblGrid>
      <w:tr>
        <w:trPr>
          <w:tblHeader/>
          <w:cantSplit/>
        </w:trPr>
        <w:tc>
          <w:tcPr>
            <w:tcW w:type="dxa" w:w="936"/>
          </w:tcPr>
          <w:p>
            <w:pPr>
              <w:spacing w:after="80" w:before="60"/>
            </w:pPr>
            <w:r>
              <w:rPr>
                <w:b/>
                <w:sz w:val="20"/>
              </w:rPr>
              <w:t>Slide</w:t>
            </w:r>
          </w:p>
        </w:tc>
        <w:tc>
          <w:tcPr>
            <w:tcW w:type="dxa" w:w="648"/>
          </w:tcPr>
          <w:p>
            <w:pPr>
              <w:spacing w:after="80" w:before="60"/>
            </w:pPr>
            <w:r>
              <w:rPr>
                <w:b/>
                <w:sz w:val="20"/>
              </w:rPr>
              <w:t>Min</w:t>
            </w:r>
          </w:p>
        </w:tc>
        <w:tc>
          <w:tcPr>
            <w:tcW w:type="dxa" w:w="8352"/>
          </w:tcPr>
          <w:p>
            <w:pPr>
              <w:spacing w:after="80" w:before="60"/>
            </w:pPr>
            <w:r>
              <w:rPr>
                <w:b/>
                <w:sz w:val="20"/>
              </w:rPr>
              <w:t>Action</w:t>
            </w:r>
          </w:p>
        </w:tc>
      </w:tr>
      <w:tr>
        <w:trPr>
          <w:cantSplit/>
        </w:trPr>
        <w:tc>
          <w:tcPr>
            <w:tcW w:type="dxa" w:w="936"/>
          </w:tcPr>
          <w:p>
            <w:pPr>
              <w:spacing w:after="80" w:before="60"/>
            </w:pPr>
            <w:r>
              <w:rPr>
                <w:b w:val="0"/>
                <w:sz w:val="20"/>
              </w:rPr>
              <w:t>1</w:t>
            </w:r>
          </w:p>
        </w:tc>
        <w:tc>
          <w:tcPr>
            <w:tcW w:type="dxa" w:w="648"/>
          </w:tcPr>
          <w:p>
            <w:pPr>
              <w:spacing w:after="80" w:before="60"/>
            </w:pPr>
            <w:r>
              <w:rPr>
                <w:b w:val="0"/>
                <w:sz w:val="20"/>
              </w:rPr>
              <w:t>0</w:t>
            </w:r>
          </w:p>
        </w:tc>
        <w:tc>
          <w:tcPr>
            <w:tcW w:type="dxa" w:w="8352"/>
          </w:tcPr>
          <w:p>
            <w:pPr>
              <w:spacing w:after="80" w:before="60"/>
            </w:pPr>
            <w:r>
              <w:rPr>
                <w:b w:val="0"/>
                <w:sz w:val="20"/>
              </w:rPr>
              <w:t>Open title and big question before timing.</w:t>
            </w:r>
          </w:p>
        </w:tc>
      </w:tr>
      <w:tr>
        <w:trPr>
          <w:cantSplit/>
        </w:trPr>
        <w:tc>
          <w:tcPr>
            <w:tcW w:type="dxa" w:w="936"/>
          </w:tcPr>
          <w:p>
            <w:pPr>
              <w:spacing w:after="80" w:before="60"/>
            </w:pPr>
            <w:r>
              <w:rPr>
                <w:b w:val="0"/>
                <w:sz w:val="20"/>
              </w:rPr>
              <w:t>2</w:t>
            </w:r>
          </w:p>
        </w:tc>
        <w:tc>
          <w:tcPr>
            <w:tcW w:type="dxa" w:w="648"/>
          </w:tcPr>
          <w:p>
            <w:pPr>
              <w:spacing w:after="80" w:before="60"/>
            </w:pPr>
            <w:r>
              <w:rPr>
                <w:b w:val="0"/>
                <w:sz w:val="20"/>
              </w:rPr>
              <w:t>4</w:t>
            </w:r>
          </w:p>
        </w:tc>
        <w:tc>
          <w:tcPr>
            <w:tcW w:type="dxa" w:w="8352"/>
          </w:tcPr>
          <w:p>
            <w:pPr>
              <w:spacing w:after="80" w:before="60"/>
            </w:pPr>
            <w:r>
              <w:rPr>
                <w:b w:val="0"/>
                <w:sz w:val="20"/>
              </w:rPr>
              <w:t>Private check-in, clear work space, ask for support.</w:t>
            </w:r>
          </w:p>
        </w:tc>
      </w:tr>
      <w:tr>
        <w:trPr>
          <w:cantSplit/>
        </w:trPr>
        <w:tc>
          <w:tcPr>
            <w:tcW w:type="dxa" w:w="936"/>
          </w:tcPr>
          <w:p>
            <w:pPr>
              <w:spacing w:after="80" w:before="60"/>
            </w:pPr>
            <w:r>
              <w:rPr>
                <w:b w:val="0"/>
                <w:sz w:val="20"/>
              </w:rPr>
              <w:t>3</w:t>
            </w:r>
          </w:p>
        </w:tc>
        <w:tc>
          <w:tcPr>
            <w:tcW w:type="dxa" w:w="648"/>
          </w:tcPr>
          <w:p>
            <w:pPr>
              <w:spacing w:after="80" w:before="60"/>
            </w:pPr>
            <w:r>
              <w:rPr>
                <w:b w:val="0"/>
                <w:sz w:val="20"/>
              </w:rPr>
              <w:t>2</w:t>
            </w:r>
          </w:p>
        </w:tc>
        <w:tc>
          <w:tcPr>
            <w:tcW w:type="dxa" w:w="8352"/>
          </w:tcPr>
          <w:p>
            <w:pPr>
              <w:spacing w:after="80" w:before="60"/>
            </w:pPr>
            <w:r>
              <w:rPr>
                <w:b w:val="0"/>
                <w:sz w:val="20"/>
              </w:rPr>
              <w:t>Name a clue in the diagram; read labels aloud.</w:t>
            </w:r>
          </w:p>
        </w:tc>
      </w:tr>
      <w:tr>
        <w:trPr>
          <w:cantSplit/>
        </w:trPr>
        <w:tc>
          <w:tcPr>
            <w:tcW w:type="dxa" w:w="936"/>
          </w:tcPr>
          <w:p>
            <w:pPr>
              <w:spacing w:after="80" w:before="60"/>
            </w:pPr>
            <w:r>
              <w:rPr>
                <w:b w:val="0"/>
                <w:sz w:val="20"/>
              </w:rPr>
              <w:t>4</w:t>
            </w:r>
          </w:p>
        </w:tc>
        <w:tc>
          <w:tcPr>
            <w:tcW w:type="dxa" w:w="648"/>
          </w:tcPr>
          <w:p>
            <w:pPr>
              <w:spacing w:after="80" w:before="60"/>
            </w:pPr>
            <w:r>
              <w:rPr>
                <w:b w:val="0"/>
                <w:sz w:val="20"/>
              </w:rPr>
              <w:t>0</w:t>
            </w:r>
          </w:p>
        </w:tc>
        <w:tc>
          <w:tcPr>
            <w:tcW w:type="dxa" w:w="8352"/>
          </w:tcPr>
          <w:p>
            <w:pPr>
              <w:spacing w:after="80" w:before="60"/>
            </w:pPr>
            <w:r>
              <w:rPr>
                <w:b w:val="0"/>
                <w:sz w:val="20"/>
              </w:rPr>
              <w:t>Read the exact objective and success checks.</w:t>
            </w:r>
          </w:p>
        </w:tc>
      </w:tr>
      <w:tr>
        <w:trPr>
          <w:cantSplit/>
        </w:trPr>
        <w:tc>
          <w:tcPr>
            <w:tcW w:type="dxa" w:w="936"/>
          </w:tcPr>
          <w:p>
            <w:pPr>
              <w:spacing w:after="80" w:before="60"/>
            </w:pPr>
            <w:r>
              <w:rPr>
                <w:b w:val="0"/>
                <w:sz w:val="20"/>
              </w:rPr>
              <w:t>5</w:t>
            </w:r>
          </w:p>
        </w:tc>
        <w:tc>
          <w:tcPr>
            <w:tcW w:type="dxa" w:w="648"/>
          </w:tcPr>
          <w:p>
            <w:pPr>
              <w:spacing w:after="80" w:before="60"/>
            </w:pPr>
            <w:r>
              <w:rPr>
                <w:b w:val="0"/>
                <w:sz w:val="20"/>
              </w:rPr>
              <w:t>5</w:t>
            </w:r>
          </w:p>
        </w:tc>
        <w:tc>
          <w:tcPr>
            <w:tcW w:type="dxa" w:w="8352"/>
          </w:tcPr>
          <w:p>
            <w:pPr>
              <w:spacing w:after="80" w:before="60"/>
            </w:pPr>
            <w:r>
              <w:rPr>
                <w:b w:val="0"/>
                <w:sz w:val="20"/>
              </w:rPr>
              <w:t>Model the materials/tools or marking sequence.</w:t>
            </w:r>
          </w:p>
        </w:tc>
      </w:tr>
      <w:tr>
        <w:trPr>
          <w:cantSplit/>
        </w:trPr>
        <w:tc>
          <w:tcPr>
            <w:tcW w:type="dxa" w:w="936"/>
          </w:tcPr>
          <w:p>
            <w:pPr>
              <w:spacing w:after="80" w:before="60"/>
            </w:pPr>
            <w:r>
              <w:rPr>
                <w:b w:val="0"/>
                <w:sz w:val="20"/>
              </w:rPr>
              <w:t>6</w:t>
            </w:r>
          </w:p>
        </w:tc>
        <w:tc>
          <w:tcPr>
            <w:tcW w:type="dxa" w:w="648"/>
          </w:tcPr>
          <w:p>
            <w:pPr>
              <w:spacing w:after="80" w:before="60"/>
            </w:pPr>
            <w:r>
              <w:rPr>
                <w:b w:val="0"/>
                <w:sz w:val="20"/>
              </w:rPr>
              <w:t>5</w:t>
            </w:r>
          </w:p>
        </w:tc>
        <w:tc>
          <w:tcPr>
            <w:tcW w:type="dxa" w:w="8352"/>
          </w:tcPr>
          <w:p>
            <w:pPr>
              <w:spacing w:after="80" w:before="60"/>
            </w:pPr>
            <w:r>
              <w:rPr>
                <w:b w:val="0"/>
                <w:sz w:val="20"/>
              </w:rPr>
              <w:t>Read the hinge; obtain a letter and a reason.</w:t>
            </w:r>
          </w:p>
        </w:tc>
      </w:tr>
      <w:tr>
        <w:trPr>
          <w:cantSplit/>
        </w:trPr>
        <w:tc>
          <w:tcPr>
            <w:tcW w:type="dxa" w:w="936"/>
          </w:tcPr>
          <w:p>
            <w:pPr>
              <w:spacing w:after="80" w:before="60"/>
            </w:pPr>
            <w:r>
              <w:rPr>
                <w:b w:val="0"/>
                <w:sz w:val="20"/>
              </w:rPr>
              <w:t>7</w:t>
            </w:r>
          </w:p>
        </w:tc>
        <w:tc>
          <w:tcPr>
            <w:tcW w:type="dxa" w:w="648"/>
          </w:tcPr>
          <w:p>
            <w:pPr>
              <w:spacing w:after="80" w:before="60"/>
            </w:pPr>
            <w:r>
              <w:rPr>
                <w:b w:val="0"/>
                <w:sz w:val="20"/>
              </w:rPr>
              <w:t>12</w:t>
            </w:r>
          </w:p>
        </w:tc>
        <w:tc>
          <w:tcPr>
            <w:tcW w:type="dxa" w:w="8352"/>
          </w:tcPr>
          <w:p>
            <w:pPr>
              <w:spacing w:after="80" w:before="60"/>
            </w:pPr>
            <w:r>
              <w:rPr>
                <w:b w:val="0"/>
                <w:sz w:val="20"/>
              </w:rPr>
              <w:t>Sort A–F; compare equal-size paper/card samples.</w:t>
            </w:r>
          </w:p>
        </w:tc>
      </w:tr>
      <w:tr>
        <w:trPr>
          <w:cantSplit/>
        </w:trPr>
        <w:tc>
          <w:tcPr>
            <w:tcW w:type="dxa" w:w="936"/>
          </w:tcPr>
          <w:p>
            <w:pPr>
              <w:spacing w:after="80" w:before="60"/>
            </w:pPr>
            <w:r>
              <w:rPr>
                <w:b w:val="0"/>
                <w:sz w:val="20"/>
              </w:rPr>
              <w:t>8</w:t>
            </w:r>
          </w:p>
        </w:tc>
        <w:tc>
          <w:tcPr>
            <w:tcW w:type="dxa" w:w="648"/>
          </w:tcPr>
          <w:p>
            <w:pPr>
              <w:spacing w:after="80" w:before="60"/>
            </w:pPr>
            <w:r>
              <w:rPr>
                <w:b w:val="0"/>
                <w:sz w:val="20"/>
              </w:rPr>
              <w:t>6</w:t>
            </w:r>
          </w:p>
        </w:tc>
        <w:tc>
          <w:tcPr>
            <w:tcW w:type="dxa" w:w="8352"/>
          </w:tcPr>
          <w:p>
            <w:pPr>
              <w:spacing w:after="80" w:before="60"/>
            </w:pPr>
            <w:r>
              <w:rPr>
                <w:b w:val="0"/>
                <w:sz w:val="20"/>
              </w:rPr>
              <w:t>Finish individual evidence and check the actual work.</w:t>
            </w:r>
          </w:p>
        </w:tc>
      </w:tr>
      <w:tr>
        <w:trPr>
          <w:cantSplit/>
        </w:trPr>
        <w:tc>
          <w:tcPr>
            <w:tcW w:type="dxa" w:w="936"/>
          </w:tcPr>
          <w:p>
            <w:pPr>
              <w:spacing w:after="80" w:before="60"/>
            </w:pPr>
            <w:r>
              <w:rPr>
                <w:b w:val="0"/>
                <w:sz w:val="20"/>
              </w:rPr>
              <w:t>9</w:t>
            </w:r>
          </w:p>
        </w:tc>
        <w:tc>
          <w:tcPr>
            <w:tcW w:type="dxa" w:w="648"/>
          </w:tcPr>
          <w:p>
            <w:pPr>
              <w:spacing w:after="80" w:before="60"/>
            </w:pPr>
            <w:r>
              <w:rPr>
                <w:b w:val="0"/>
                <w:sz w:val="20"/>
              </w:rPr>
              <w:t>4</w:t>
            </w:r>
          </w:p>
        </w:tc>
        <w:tc>
          <w:tcPr>
            <w:tcW w:type="dxa" w:w="8352"/>
          </w:tcPr>
          <w:p>
            <w:pPr>
              <w:spacing w:after="80" w:before="60"/>
            </w:pPr>
            <w:r>
              <w:rPr>
                <w:b w:val="0"/>
                <w:sz w:val="20"/>
              </w:rPr>
              <w:t>Check name, help used and next step; return tools.</w:t>
            </w:r>
          </w:p>
        </w:tc>
      </w:tr>
      <w:tr>
        <w:trPr>
          <w:cantSplit/>
        </w:trPr>
        <w:tc>
          <w:tcPr>
            <w:tcW w:type="dxa" w:w="936"/>
          </w:tcPr>
          <w:p>
            <w:pPr>
              <w:spacing w:after="80" w:before="60"/>
            </w:pPr>
            <w:r>
              <w:rPr>
                <w:b w:val="0"/>
                <w:sz w:val="20"/>
              </w:rPr>
              <w:t>10</w:t>
            </w:r>
          </w:p>
        </w:tc>
        <w:tc>
          <w:tcPr>
            <w:tcW w:type="dxa" w:w="648"/>
          </w:tcPr>
          <w:p>
            <w:pPr>
              <w:spacing w:after="80" w:before="60"/>
            </w:pPr>
            <w:r>
              <w:rPr>
                <w:b w:val="0"/>
                <w:sz w:val="20"/>
              </w:rPr>
              <w:t>2</w:t>
            </w:r>
          </w:p>
        </w:tc>
        <w:tc>
          <w:tcPr>
            <w:tcW w:type="dxa" w:w="8352"/>
          </w:tcPr>
          <w:p>
            <w:pPr>
              <w:spacing w:after="80" w:before="60"/>
            </w:pPr>
            <w:r>
              <w:rPr>
                <w:b w:val="0"/>
                <w:sz w:val="20"/>
              </w:rPr>
              <w:t>Take one quiet exit response; note next teaching need.</w:t>
            </w:r>
          </w:p>
        </w:tc>
      </w:tr>
      <w:tr>
        <w:trPr>
          <w:cantSplit/>
        </w:trPr>
        <w:tc>
          <w:tcPr>
            <w:tcW w:type="dxa" w:w="936"/>
          </w:tcPr>
          <w:p>
            <w:pPr>
              <w:spacing w:after="80" w:before="60"/>
            </w:pPr>
            <w:r>
              <w:rPr>
                <w:b w:val="0"/>
                <w:sz w:val="20"/>
              </w:rPr>
              <w:t>11</w:t>
            </w:r>
          </w:p>
        </w:tc>
        <w:tc>
          <w:tcPr>
            <w:tcW w:type="dxa" w:w="648"/>
          </w:tcPr>
          <w:p>
            <w:pPr>
              <w:spacing w:after="80" w:before="60"/>
            </w:pPr>
            <w:r>
              <w:rPr>
                <w:b w:val="0"/>
                <w:sz w:val="20"/>
              </w:rPr>
              <w:t>0</w:t>
            </w:r>
          </w:p>
        </w:tc>
        <w:tc>
          <w:tcPr>
            <w:tcW w:type="dxa" w:w="8352"/>
          </w:tcPr>
          <w:p>
            <w:pPr>
              <w:spacing w:after="80" w:before="60"/>
            </w:pPr>
            <w:r>
              <w:rPr>
                <w:b w:val="0"/>
                <w:sz w:val="20"/>
              </w:rPr>
              <w:t>Keep the vocabulary mat available throughout.</w:t>
            </w:r>
          </w:p>
        </w:tc>
      </w:tr>
      <w:tr>
        <w:trPr>
          <w:cantSplit/>
        </w:trPr>
        <w:tc>
          <w:tcPr>
            <w:tcW w:type="dxa" w:w="936"/>
          </w:tcPr>
          <w:p>
            <w:pPr>
              <w:spacing w:after="80" w:before="60"/>
            </w:pPr>
            <w:r>
              <w:rPr>
                <w:b w:val="0"/>
                <w:sz w:val="20"/>
              </w:rPr>
              <w:t>12</w:t>
            </w:r>
          </w:p>
        </w:tc>
        <w:tc>
          <w:tcPr>
            <w:tcW w:type="dxa" w:w="648"/>
          </w:tcPr>
          <w:p>
            <w:pPr>
              <w:spacing w:after="80" w:before="60"/>
            </w:pPr>
            <w:r>
              <w:rPr>
                <w:b w:val="0"/>
                <w:sz w:val="20"/>
              </w:rPr>
              <w:t>0</w:t>
            </w:r>
          </w:p>
        </w:tc>
        <w:tc>
          <w:tcPr>
            <w:tcW w:type="dxa" w:w="8352"/>
          </w:tcPr>
          <w:p>
            <w:pPr>
              <w:spacing w:after="80" w:before="60"/>
            </w:pPr>
            <w:r>
              <w:rPr>
                <w:b w:val="0"/>
                <w:sz w:val="20"/>
              </w:rPr>
              <w:t>Hidden reference for adults.</w:t>
            </w:r>
          </w:p>
        </w:tc>
      </w:tr>
    </w:tbl>
    <w:p>
      <w:pPr>
        <w:pStyle w:val="Heading1"/>
      </w:pPr>
      <w:r>
        <w:rPr>
          <w:b w:val="0"/>
        </w:rPr>
        <w:t>Hinge and reteach</w:t>
      </w:r>
    </w:p>
    <w:p>
      <w:r>
        <w:rPr>
          <w:b w:val="0"/>
        </w:rPr>
        <w:t>B. Stop handling the card and tell the adult. Staff replace it with clean, staple-free card. A risks a hand injury; C leaves the hazard for someone else. Reteach with a rough card edge: pause and ask for a sound piece. A correct letter alone does not show understanding.</w:t>
      </w:r>
    </w:p>
    <w:p>
      <w:pPr>
        <w:pStyle w:val="Heading1"/>
      </w:pPr>
      <w:r>
        <w:rPr>
          <w:b w:val="0"/>
        </w:rPr>
        <w:t>Access routes</w:t>
      </w:r>
    </w:p>
    <w:p>
      <w:r>
        <w:rPr>
          <w:b w:val="0"/>
        </w:rPr>
        <w:t>Supported: start with A, B, C and D. Independent: sort all six and give a use. Aspire: explain a material choice for a model.</w:t>
      </w:r>
    </w:p>
    <w:p>
      <w:r>
        <w:rPr>
          <w:b w:val="0"/>
        </w:rPr>
        <w:t>Sort A–F as material/tool using page 2 labels. Compare equal-size paper and card by gentle bending, not a model load test. Supported pupils start with A–D. Begin page 1 evidence during practice; record exact pupil observations.</w:t>
      </w:r>
    </w:p>
    <w:p>
      <w:r>
        <w:rPr>
          <w:b w:val="0"/>
        </w:rPr>
        <w:t>Begin evidence during the 12-minute practice and finish in the six-minute capture. Read or scribe the learner’s words. Record physical assistance precisely. No forced pair work, cold calling or public performance.</w:t>
      </w:r>
    </w:p>
    <w:p>
      <w:r>
        <w:br w:type="page"/>
      </w:r>
    </w:p>
    <w:p>
      <w:pPr>
        <w:pStyle w:val="Heading1"/>
      </w:pPr>
      <w:r>
        <w:rPr>
          <w:b w:val="0"/>
        </w:rPr>
        <w:t>Safe work evidence and learner voice</w:t>
      </w:r>
    </w:p>
    <w:p>
      <w:pPr>
        <w:pStyle w:val="Heading1"/>
      </w:pPr>
      <w:r>
        <w:rPr>
          <w:b w:val="0"/>
        </w:rPr>
        <w:t>Practical boundaries</w:t>
      </w:r>
    </w:p>
    <w:p>
      <w:r>
        <w:rPr>
          <w:b w:val="0"/>
        </w:rPr>
        <w:t>Staff check the task and room risk assessment, individual access needs and local D&amp;T procedures. Use only clean, dry, smooth, staple-free paper/card, rulers and pencils. Prepare tape samples beforehand. Scissors are pictured only. No pupil cutting, folding, assembly, power tools, blades, hot glue or load tests. Offer an observation alternative if touch is uncomfortable.</w:t>
      </w:r>
    </w:p>
    <w:p>
      <w:pPr>
        <w:pStyle w:val="Heading1"/>
      </w:pPr>
      <w:r>
        <w:rPr>
          <w:b w:val="0"/>
        </w:rPr>
        <w:t>Assessment and feedback</w:t>
      </w:r>
    </w:p>
    <w:p>
      <w:r>
        <w:rPr>
          <w:b w:val="0"/>
        </w:rPr>
        <w:t>Materials: paper, card or tape. Tools: ruler, pencil or scissors. A ruler measures/guides a straight line; a pencil marks; scissors cut. Compare equal-size paper and card samples by gentle bending. Accept the observed result. A hazard must pair with a suitable action, for example sharp staple: stop and tell staff. Do not credit a copied model as an independent observation.</w:t>
      </w:r>
    </w:p>
    <w:p>
      <w:r>
        <w:rPr>
          <w:b w:val="0"/>
        </w:rPr>
        <w:t>Keep the actual work, reason, response mode and support. A copied model or blank form is not completed evidence. Use VF · WS · I · NS+ (Yellow Box) · // (self-edit) · ? (read back) · R (responded) · E (evidence in the school's evidence record). R requires Voice, Audience, an NS+ prompt and the learner’s response in their own colour. Record E only after actual banking.</w:t>
      </w:r>
    </w:p>
    <w:p>
      <w:pPr>
        <w:pStyle w:val="Heading1"/>
      </w:pPr>
      <w:r>
        <w:rPr>
          <w:b w:val="0"/>
        </w:rPr>
        <w:t>Lundy moments</w:t>
      </w:r>
    </w:p>
    <w:p>
      <w:r>
        <w:rPr>
          <w:b w:val="0"/>
        </w:rPr>
        <w:t>Space: a calm place and accessible materials. Voice: a choice or request for help. Audience: the adult listens, checks and replies. Influence: record the requested support or next task and the change made.</w:t>
      </w:r>
    </w:p>
    <w:p>
      <w:pPr>
        <w:pStyle w:val="Heading1"/>
      </w:pPr>
      <w:r>
        <w:rPr>
          <w:b w:val="0"/>
        </w:rPr>
        <w:t>Speaking listening and writing</w:t>
      </w:r>
    </w:p>
    <w:p>
      <w:r>
        <w:rPr>
          <w:b w:val="0"/>
        </w:rPr>
        <w:t>Possible communication evidence: Name materials and tools, listen to a safety instruction, explain an observed difference and ask for help with a hazard. The receiving teacher maps authentic responses to their own portfolio. No communication criteria are assigned here.</w:t>
      </w:r>
    </w:p>
    <w:p>
      <w:pPr>
        <w:pStyle w:val="Heading1"/>
      </w:pPr>
      <w:r>
        <w:rPr>
          <w:b w:val="0"/>
        </w:rPr>
        <w:t>Private help and reflection</w:t>
      </w:r>
    </w:p>
    <w:p>
      <w:r>
        <w:rPr>
          <w:b w:val="0"/>
        </w:rPr>
        <w:t>Offer a quiet help request or an observation alternative. If a concern is disclosed, listen calmly, follow local safeguarding procedures and keep that record separate from lesson evidence. Do not promise secrecy.</w:t>
      </w:r>
    </w:p>
    <w:p>
      <w:r>
        <w:rPr>
          <w:b w:val="0"/>
        </w:rPr>
        <w:t>What needs more practice? __________________________________________________</w:t>
        <w:br/>
        <w:t>Learner request and change made: ____________________________________________</w:t>
      </w:r>
    </w:p>
    <w:p>
      <w:r>
        <w:rPr>
          <w:b w:val="0"/>
        </w:rPr>
        <w:t>Provenance: lane1/main index revision 840cc945; unchanged workbook revision 9ed44bdf, cells above. Calendar and one-period allocation: owner order. The card model and responses are authored examples. Sources and limits: FACTS_LEDGER.md. No award criteria or registration are inferred.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DT-LAUNCH-A2-W01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and cover planner</dc:title>
  <dc:subject>DT-LAUNCH-A2-W01</dc:subject>
  <dc:creator/>
  <cp:keywords/>
  <dc:description/>
  <cp:lastModifiedBy/>
  <cp:revision>1</cp:revision>
  <dcterms:created xsi:type="dcterms:W3CDTF">2026-10-24T00:00:00Z</dcterms:created>
  <dcterms:modified xsi:type="dcterms:W3CDTF">2026-10-24T00:00:00Z</dcterms:modified>
  <cp:category/>
</cp:coreProperties>
</file>