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b w:val="0"/>
        </w:rPr>
        <w:t>Teacher and cover planner</w:t>
      </w:r>
    </w:p>
    <w:p>
      <w:r>
        <w:rPr>
          <w:b/>
        </w:rPr>
        <w:t>Money plans and consumer rights</w:t>
      </w:r>
    </w:p>
    <w:p>
      <w:r>
        <w:rPr>
          <w:b w:val="0"/>
        </w:rPr>
        <w:t>Tuesday 3–Friday 6 November 2026 · one 40-minute lesson</w:t>
      </w:r>
    </w:p>
    <w:p>
      <w:r>
        <w:rPr>
          <w:b w:val="0"/>
        </w:rPr>
        <w:t>Teaching date: __________________   Teacher: __________________</w:t>
      </w:r>
    </w:p>
    <w:p>
      <w:pPr>
        <w:pStyle w:val="Heading1"/>
      </w:pPr>
      <w:r>
        <w:rPr>
          <w:b w:val="0"/>
        </w:rPr>
        <w:t>Exact scheme cells</w:t>
      </w:r>
    </w:p>
    <w:p>
      <w:r>
        <w:rPr>
          <w:b w:val="0"/>
        </w:rPr>
        <w:t>LAUNCH Weekly - Autumn!C179</w:t>
        <w:br/>
        <w:t>Money, budgeting &amp; consumer rights.</w:t>
      </w:r>
    </w:p>
    <w:p>
      <w:r>
        <w:rPr>
          <w:b w:val="0"/>
        </w:rPr>
        <w:t>LAUNCH - Autumn!D27</w:t>
        <w:br/>
        <w:t>Adult life: money, work, safety &amp; citizenship</w:t>
      </w:r>
    </w:p>
    <w:p>
      <w:r>
        <w:rPr>
          <w:b w:val="0"/>
        </w:rPr>
        <w:t>LAUNCH - Autumn!I27</w:t>
        <w:br/>
        <w:t>PSHE Association (KS4/post-16 PoS); ACT Citizenship; [AWARD] [QUAL] '[QUAL]'.</w:t>
      </w:r>
    </w:p>
    <w:p>
      <w:r>
        <w:rPr>
          <w:b w:val="0"/>
        </w:rPr>
        <w:t>LAUNCH - Autumn!J27</w:t>
        <w:br/>
        <w:t>F: scenarios &amp; tasks. S: adult life &amp; responsibilities task (Dec).</w:t>
      </w:r>
    </w:p>
    <w:p>
      <w:r>
        <w:rPr>
          <w:b w:val="0"/>
        </w:rPr>
        <w:t>The scheme’s December assessment stays in December. Today supplies formative work towards the named adult-life unit; it does not complete an award. Public award labels are masked only.</w:t>
      </w:r>
    </w:p>
    <w:p>
      <w:pPr>
        <w:pStyle w:val="Heading1"/>
      </w:pPr>
      <w:r>
        <w:rPr>
          <w:b w:val="0"/>
        </w:rPr>
        <w:t>Purpose and success checks</w:t>
      </w:r>
    </w:p>
    <w:p>
      <w:r>
        <w:rPr>
          <w:b w:val="0"/>
        </w:rPr>
        <w:t>How can a money plan help us choose?</w:t>
      </w:r>
    </w:p>
    <w:p>
      <w:r>
        <w:rPr>
          <w:b w:val="0"/>
        </w:rPr>
        <w:t>I can plan spending within a set amount. I can spot a fault or a change of mind. I can explain a sensible next step.</w:t>
      </w:r>
    </w:p>
    <w:p>
      <w:r>
        <w:rPr>
          <w:b w:val="0"/>
        </w:rPr>
        <w:t>LAUNCH-PSHE-W1-E1: Individual one-day budget calculation and consumer-rights scenario response, with a reason, next step and response after feedback.</w:t>
      </w:r>
    </w:p>
    <w:p>
      <w:pPr>
        <w:pStyle w:val="Heading1"/>
      </w:pPr>
      <w:r>
        <w:rPr>
          <w:b w:val="0"/>
        </w:rPr>
        <w:t>Before pupils arrive</w:t>
      </w:r>
    </w:p>
    <w:p>
      <w:r>
        <w:rPr>
          <w:b w:val="0"/>
        </w:rPr>
        <w:t>Prepare the deck, Evidence Sheet and Vocabulary Mat for each learner; one set of Support Cards; pens, timer and spare paper. Have counters and a calculator for the fictional budget. Read the Staff Answers. No log-ins, live transactions, employer contact or web search is needed.</w:t>
      </w:r>
    </w:p>
    <w:p>
      <w:r>
        <w:rPr>
          <w:b w:val="0"/>
        </w:rPr>
        <w:t>Identify the staff member and agreed place for private help. Read the local safeguarding route. Offer a quiet seat, processing time and a supported break. Pupils may work alongside each other or with an adult; capture each person’s own evidence.</w:t>
      </w:r>
    </w:p>
    <w:p>
      <w:pPr>
        <w:pStyle w:val="Heading1"/>
      </w:pPr>
      <w:r>
        <w:rPr>
          <w:b w:val="0"/>
        </w:rPr>
        <w:t>Calendar</w:t>
      </w:r>
    </w:p>
    <w:p>
      <w:r>
        <w:rPr>
          <w:b w:val="0"/>
        </w:rPr>
        <w:t>W1 starts Tuesday 3 November: Monday 2 November is a training day. No fixed lesson day or clock slot was supplied. Enter the actual teaching date above; do not assume a Monday lesson in W1.</w:t>
      </w:r>
    </w:p>
    <w:p>
      <w:r>
        <w:br w:type="page"/>
      </w:r>
    </w:p>
    <w:p>
      <w:pPr>
        <w:pStyle w:val="Heading1"/>
      </w:pPr>
      <w:r>
        <w:rPr>
          <w:b w:val="0"/>
        </w:rPr>
        <w:t>Forty minute sequence</w:t>
      </w:r>
    </w:p>
    <w:tbl>
      <w:tblPr>
        <w:tblStyle w:val="TableGrid"/>
        <w:tblW w:type="auto" w:w="0"/>
        <w:tblLayout w:type="fixed"/>
        <w:tblLook w:firstColumn="1" w:firstRow="1" w:lastColumn="0" w:lastRow="0" w:noHBand="0" w:noVBand="1" w:val="04A0"/>
      </w:tblPr>
      <w:tblGrid>
        <w:gridCol w:w="936"/>
        <w:gridCol w:w="648"/>
        <w:gridCol w:w="8352"/>
      </w:tblGrid>
      <w:tr>
        <w:trPr>
          <w:tblHeader/>
          <w:cantSplit/>
        </w:trPr>
        <w:tc>
          <w:tcPr>
            <w:tcW w:type="dxa" w:w="936"/>
          </w:tcPr>
          <w:p>
            <w:pPr>
              <w:spacing w:after="80" w:before="60"/>
            </w:pPr>
            <w:r>
              <w:rPr>
                <w:b/>
                <w:sz w:val="20"/>
              </w:rPr>
              <w:t>Slide</w:t>
            </w:r>
          </w:p>
        </w:tc>
        <w:tc>
          <w:tcPr>
            <w:tcW w:type="dxa" w:w="648"/>
          </w:tcPr>
          <w:p>
            <w:pPr>
              <w:spacing w:after="80" w:before="60"/>
            </w:pPr>
            <w:r>
              <w:rPr>
                <w:b/>
                <w:sz w:val="20"/>
              </w:rPr>
              <w:t>Min</w:t>
            </w:r>
          </w:p>
        </w:tc>
        <w:tc>
          <w:tcPr>
            <w:tcW w:type="dxa" w:w="8352"/>
          </w:tcPr>
          <w:p>
            <w:pPr>
              <w:spacing w:after="80" w:before="60"/>
            </w:pPr>
            <w:r>
              <w:rPr>
                <w:b/>
                <w:sz w:val="20"/>
              </w:rPr>
              <w:t>Action</w:t>
            </w:r>
          </w:p>
        </w:tc>
      </w:tr>
      <w:tr>
        <w:trPr>
          <w:cantSplit/>
        </w:trPr>
        <w:tc>
          <w:tcPr>
            <w:tcW w:type="dxa" w:w="936"/>
          </w:tcPr>
          <w:p>
            <w:pPr>
              <w:spacing w:after="80" w:before="60"/>
            </w:pPr>
            <w:r>
              <w:rPr>
                <w:b w:val="0"/>
                <w:sz w:val="20"/>
              </w:rPr>
              <w:t>1</w:t>
            </w:r>
          </w:p>
        </w:tc>
        <w:tc>
          <w:tcPr>
            <w:tcW w:type="dxa" w:w="648"/>
          </w:tcPr>
          <w:p>
            <w:pPr>
              <w:spacing w:after="80" w:before="60"/>
            </w:pPr>
            <w:r>
              <w:rPr>
                <w:b w:val="0"/>
                <w:sz w:val="20"/>
              </w:rPr>
              <w:t>0</w:t>
            </w:r>
          </w:p>
        </w:tc>
        <w:tc>
          <w:tcPr>
            <w:tcW w:type="dxa" w:w="8352"/>
          </w:tcPr>
          <w:p>
            <w:pPr>
              <w:spacing w:after="80" w:before="60"/>
            </w:pPr>
            <w:r>
              <w:rPr>
                <w:b w:val="0"/>
                <w:sz w:val="20"/>
              </w:rPr>
              <w:t>Open title and big question before timing.</w:t>
            </w:r>
          </w:p>
        </w:tc>
      </w:tr>
      <w:tr>
        <w:trPr>
          <w:cantSplit/>
        </w:trPr>
        <w:tc>
          <w:tcPr>
            <w:tcW w:type="dxa" w:w="936"/>
          </w:tcPr>
          <w:p>
            <w:pPr>
              <w:spacing w:after="80" w:before="60"/>
            </w:pPr>
            <w:r>
              <w:rPr>
                <w:b w:val="0"/>
                <w:sz w:val="20"/>
              </w:rPr>
              <w:t>2</w:t>
            </w:r>
          </w:p>
        </w:tc>
        <w:tc>
          <w:tcPr>
            <w:tcW w:type="dxa" w:w="648"/>
          </w:tcPr>
          <w:p>
            <w:pPr>
              <w:spacing w:after="80" w:before="60"/>
            </w:pPr>
            <w:r>
              <w:rPr>
                <w:b w:val="0"/>
                <w:sz w:val="20"/>
              </w:rPr>
              <w:t>4</w:t>
            </w:r>
          </w:p>
        </w:tc>
        <w:tc>
          <w:tcPr>
            <w:tcW w:type="dxa" w:w="8352"/>
          </w:tcPr>
          <w:p>
            <w:pPr>
              <w:spacing w:after="80" w:before="60"/>
            </w:pPr>
            <w:r>
              <w:rPr>
                <w:b w:val="0"/>
                <w:sz w:val="20"/>
              </w:rPr>
              <w:t>Private check-in, quiet start and right to pass.</w:t>
            </w:r>
          </w:p>
        </w:tc>
      </w:tr>
      <w:tr>
        <w:trPr>
          <w:cantSplit/>
        </w:trPr>
        <w:tc>
          <w:tcPr>
            <w:tcW w:type="dxa" w:w="936"/>
          </w:tcPr>
          <w:p>
            <w:pPr>
              <w:spacing w:after="80" w:before="60"/>
            </w:pPr>
            <w:r>
              <w:rPr>
                <w:b w:val="0"/>
                <w:sz w:val="20"/>
              </w:rPr>
              <w:t>3</w:t>
            </w:r>
          </w:p>
        </w:tc>
        <w:tc>
          <w:tcPr>
            <w:tcW w:type="dxa" w:w="648"/>
          </w:tcPr>
          <w:p>
            <w:pPr>
              <w:spacing w:after="80" w:before="60"/>
            </w:pPr>
            <w:r>
              <w:rPr>
                <w:b w:val="0"/>
                <w:sz w:val="20"/>
              </w:rPr>
              <w:t>2</w:t>
            </w:r>
          </w:p>
        </w:tc>
        <w:tc>
          <w:tcPr>
            <w:tcW w:type="dxa" w:w="8352"/>
          </w:tcPr>
          <w:p>
            <w:pPr>
              <w:spacing w:after="80" w:before="60"/>
            </w:pPr>
            <w:r>
              <w:rPr>
                <w:b w:val="0"/>
                <w:sz w:val="20"/>
              </w:rPr>
              <w:t>Describe the fictional picture; hear a clue or question.</w:t>
            </w:r>
          </w:p>
        </w:tc>
      </w:tr>
      <w:tr>
        <w:trPr>
          <w:cantSplit/>
        </w:trPr>
        <w:tc>
          <w:tcPr>
            <w:tcW w:type="dxa" w:w="936"/>
          </w:tcPr>
          <w:p>
            <w:pPr>
              <w:spacing w:after="80" w:before="60"/>
            </w:pPr>
            <w:r>
              <w:rPr>
                <w:b w:val="0"/>
                <w:sz w:val="20"/>
              </w:rPr>
              <w:t>4</w:t>
            </w:r>
          </w:p>
        </w:tc>
        <w:tc>
          <w:tcPr>
            <w:tcW w:type="dxa" w:w="648"/>
          </w:tcPr>
          <w:p>
            <w:pPr>
              <w:spacing w:after="80" w:before="60"/>
            </w:pPr>
            <w:r>
              <w:rPr>
                <w:b w:val="0"/>
                <w:sz w:val="20"/>
              </w:rPr>
              <w:t>0</w:t>
            </w:r>
          </w:p>
        </w:tc>
        <w:tc>
          <w:tcPr>
            <w:tcW w:type="dxa" w:w="8352"/>
          </w:tcPr>
          <w:p>
            <w:pPr>
              <w:spacing w:after="80" w:before="60"/>
            </w:pPr>
            <w:r>
              <w:rPr>
                <w:b w:val="0"/>
                <w:sz w:val="20"/>
              </w:rPr>
              <w:t>Read the scheme objective and three I can checks.</w:t>
            </w:r>
          </w:p>
        </w:tc>
      </w:tr>
      <w:tr>
        <w:trPr>
          <w:cantSplit/>
        </w:trPr>
        <w:tc>
          <w:tcPr>
            <w:tcW w:type="dxa" w:w="936"/>
          </w:tcPr>
          <w:p>
            <w:pPr>
              <w:spacing w:after="80" w:before="60"/>
            </w:pPr>
            <w:r>
              <w:rPr>
                <w:b w:val="0"/>
                <w:sz w:val="20"/>
              </w:rPr>
              <w:t>5</w:t>
            </w:r>
          </w:p>
        </w:tc>
        <w:tc>
          <w:tcPr>
            <w:tcW w:type="dxa" w:w="648"/>
          </w:tcPr>
          <w:p>
            <w:pPr>
              <w:spacing w:after="80" w:before="60"/>
            </w:pPr>
            <w:r>
              <w:rPr>
                <w:b w:val="0"/>
                <w:sz w:val="20"/>
              </w:rPr>
              <w:t>5</w:t>
            </w:r>
          </w:p>
        </w:tc>
        <w:tc>
          <w:tcPr>
            <w:tcW w:type="dxa" w:w="8352"/>
          </w:tcPr>
          <w:p>
            <w:pPr>
              <w:spacing w:after="80" w:before="60"/>
            </w:pPr>
            <w:r>
              <w:rPr>
                <w:b w:val="0"/>
                <w:sz w:val="20"/>
              </w:rPr>
              <w:t>Model each line; show how facts support a choice.</w:t>
            </w:r>
          </w:p>
        </w:tc>
      </w:tr>
      <w:tr>
        <w:trPr>
          <w:cantSplit/>
        </w:trPr>
        <w:tc>
          <w:tcPr>
            <w:tcW w:type="dxa" w:w="936"/>
          </w:tcPr>
          <w:p>
            <w:pPr>
              <w:spacing w:after="80" w:before="60"/>
            </w:pPr>
            <w:r>
              <w:rPr>
                <w:b w:val="0"/>
                <w:sz w:val="20"/>
              </w:rPr>
              <w:t>6</w:t>
            </w:r>
          </w:p>
        </w:tc>
        <w:tc>
          <w:tcPr>
            <w:tcW w:type="dxa" w:w="648"/>
          </w:tcPr>
          <w:p>
            <w:pPr>
              <w:spacing w:after="80" w:before="60"/>
            </w:pPr>
            <w:r>
              <w:rPr>
                <w:b w:val="0"/>
                <w:sz w:val="20"/>
              </w:rPr>
              <w:t>5</w:t>
            </w:r>
          </w:p>
        </w:tc>
        <w:tc>
          <w:tcPr>
            <w:tcW w:type="dxa" w:w="8352"/>
          </w:tcPr>
          <w:p>
            <w:pPr>
              <w:spacing w:after="80" w:before="60"/>
            </w:pPr>
            <w:r>
              <w:rPr>
                <w:b w:val="0"/>
                <w:sz w:val="20"/>
              </w:rPr>
              <w:t>Read the hinge; obtain a letter and a reason.</w:t>
            </w:r>
          </w:p>
        </w:tc>
      </w:tr>
      <w:tr>
        <w:trPr>
          <w:cantSplit/>
        </w:trPr>
        <w:tc>
          <w:tcPr>
            <w:tcW w:type="dxa" w:w="936"/>
          </w:tcPr>
          <w:p>
            <w:pPr>
              <w:spacing w:after="80" w:before="60"/>
            </w:pPr>
            <w:r>
              <w:rPr>
                <w:b w:val="0"/>
                <w:sz w:val="20"/>
              </w:rPr>
              <w:t>7</w:t>
            </w:r>
          </w:p>
        </w:tc>
        <w:tc>
          <w:tcPr>
            <w:tcW w:type="dxa" w:w="648"/>
          </w:tcPr>
          <w:p>
            <w:pPr>
              <w:spacing w:after="80" w:before="60"/>
            </w:pPr>
            <w:r>
              <w:rPr>
                <w:b w:val="0"/>
                <w:sz w:val="20"/>
              </w:rPr>
              <w:t>12</w:t>
            </w:r>
          </w:p>
        </w:tc>
        <w:tc>
          <w:tcPr>
            <w:tcW w:type="dxa" w:w="8352"/>
          </w:tcPr>
          <w:p>
            <w:pPr>
              <w:spacing w:after="80" w:before="60"/>
            </w:pPr>
            <w:r>
              <w:rPr>
                <w:b w:val="0"/>
                <w:sz w:val="20"/>
              </w:rPr>
              <w:t>Use counters for the budget; sort cases; practise fault versus change of mind.</w:t>
            </w:r>
          </w:p>
        </w:tc>
      </w:tr>
      <w:tr>
        <w:trPr>
          <w:cantSplit/>
        </w:trPr>
        <w:tc>
          <w:tcPr>
            <w:tcW w:type="dxa" w:w="936"/>
          </w:tcPr>
          <w:p>
            <w:pPr>
              <w:spacing w:after="80" w:before="60"/>
            </w:pPr>
            <w:r>
              <w:rPr>
                <w:b w:val="0"/>
                <w:sz w:val="20"/>
              </w:rPr>
              <w:t>8</w:t>
            </w:r>
          </w:p>
        </w:tc>
        <w:tc>
          <w:tcPr>
            <w:tcW w:type="dxa" w:w="648"/>
          </w:tcPr>
          <w:p>
            <w:pPr>
              <w:spacing w:after="80" w:before="60"/>
            </w:pPr>
            <w:r>
              <w:rPr>
                <w:b w:val="0"/>
                <w:sz w:val="20"/>
              </w:rPr>
              <w:t>6</w:t>
            </w:r>
          </w:p>
        </w:tc>
        <w:tc>
          <w:tcPr>
            <w:tcW w:type="dxa" w:w="8352"/>
          </w:tcPr>
          <w:p>
            <w:pPr>
              <w:spacing w:after="80" w:before="60"/>
            </w:pPr>
            <w:r>
              <w:rPr>
                <w:b w:val="0"/>
                <w:sz w:val="20"/>
              </w:rPr>
              <w:t>Finish the individual two-page Evidence Sheet.</w:t>
            </w:r>
          </w:p>
        </w:tc>
      </w:tr>
      <w:tr>
        <w:trPr>
          <w:cantSplit/>
        </w:trPr>
        <w:tc>
          <w:tcPr>
            <w:tcW w:type="dxa" w:w="936"/>
          </w:tcPr>
          <w:p>
            <w:pPr>
              <w:spacing w:after="80" w:before="60"/>
            </w:pPr>
            <w:r>
              <w:rPr>
                <w:b w:val="0"/>
                <w:sz w:val="20"/>
              </w:rPr>
              <w:t>9</w:t>
            </w:r>
          </w:p>
        </w:tc>
        <w:tc>
          <w:tcPr>
            <w:tcW w:type="dxa" w:w="648"/>
          </w:tcPr>
          <w:p>
            <w:pPr>
              <w:spacing w:after="80" w:before="60"/>
            </w:pPr>
            <w:r>
              <w:rPr>
                <w:b w:val="0"/>
                <w:sz w:val="20"/>
              </w:rPr>
              <w:t>4</w:t>
            </w:r>
          </w:p>
        </w:tc>
        <w:tc>
          <w:tcPr>
            <w:tcW w:type="dxa" w:w="8352"/>
          </w:tcPr>
          <w:p>
            <w:pPr>
              <w:spacing w:after="80" w:before="60"/>
            </w:pPr>
            <w:r>
              <w:rPr>
                <w:b w:val="0"/>
                <w:sz w:val="20"/>
              </w:rPr>
              <w:t>Check name, support, learner response and next step.</w:t>
            </w:r>
          </w:p>
        </w:tc>
      </w:tr>
      <w:tr>
        <w:trPr>
          <w:cantSplit/>
        </w:trPr>
        <w:tc>
          <w:tcPr>
            <w:tcW w:type="dxa" w:w="936"/>
          </w:tcPr>
          <w:p>
            <w:pPr>
              <w:spacing w:after="80" w:before="60"/>
            </w:pPr>
            <w:r>
              <w:rPr>
                <w:b w:val="0"/>
                <w:sz w:val="20"/>
              </w:rPr>
              <w:t>10</w:t>
            </w:r>
          </w:p>
        </w:tc>
        <w:tc>
          <w:tcPr>
            <w:tcW w:type="dxa" w:w="648"/>
          </w:tcPr>
          <w:p>
            <w:pPr>
              <w:spacing w:after="80" w:before="60"/>
            </w:pPr>
            <w:r>
              <w:rPr>
                <w:b w:val="0"/>
                <w:sz w:val="20"/>
              </w:rPr>
              <w:t>2</w:t>
            </w:r>
          </w:p>
        </w:tc>
        <w:tc>
          <w:tcPr>
            <w:tcW w:type="dxa" w:w="8352"/>
          </w:tcPr>
          <w:p>
            <w:pPr>
              <w:spacing w:after="80" w:before="60"/>
            </w:pPr>
            <w:r>
              <w:rPr>
                <w:b w:val="0"/>
                <w:sz w:val="20"/>
              </w:rPr>
              <w:t>Take one quiet exit response; record next teaching need.</w:t>
            </w:r>
          </w:p>
        </w:tc>
      </w:tr>
      <w:tr>
        <w:trPr>
          <w:cantSplit/>
        </w:trPr>
        <w:tc>
          <w:tcPr>
            <w:tcW w:type="dxa" w:w="936"/>
          </w:tcPr>
          <w:p>
            <w:pPr>
              <w:spacing w:after="80" w:before="60"/>
            </w:pPr>
            <w:r>
              <w:rPr>
                <w:b w:val="0"/>
                <w:sz w:val="20"/>
              </w:rPr>
              <w:t>11</w:t>
            </w:r>
          </w:p>
        </w:tc>
        <w:tc>
          <w:tcPr>
            <w:tcW w:type="dxa" w:w="648"/>
          </w:tcPr>
          <w:p>
            <w:pPr>
              <w:spacing w:after="80" w:before="60"/>
            </w:pPr>
            <w:r>
              <w:rPr>
                <w:b w:val="0"/>
                <w:sz w:val="20"/>
              </w:rPr>
              <w:t>0</w:t>
            </w:r>
          </w:p>
        </w:tc>
        <w:tc>
          <w:tcPr>
            <w:tcW w:type="dxa" w:w="8352"/>
          </w:tcPr>
          <w:p>
            <w:pPr>
              <w:spacing w:after="80" w:before="60"/>
            </w:pPr>
            <w:r>
              <w:rPr>
                <w:b w:val="0"/>
                <w:sz w:val="20"/>
              </w:rPr>
              <w:t>Keep the vocabulary mat available throughout.</w:t>
            </w:r>
          </w:p>
        </w:tc>
      </w:tr>
      <w:tr>
        <w:trPr>
          <w:cantSplit/>
        </w:trPr>
        <w:tc>
          <w:tcPr>
            <w:tcW w:type="dxa" w:w="936"/>
          </w:tcPr>
          <w:p>
            <w:pPr>
              <w:spacing w:after="80" w:before="60"/>
            </w:pPr>
            <w:r>
              <w:rPr>
                <w:b w:val="0"/>
                <w:sz w:val="20"/>
              </w:rPr>
              <w:t>12</w:t>
            </w:r>
          </w:p>
        </w:tc>
        <w:tc>
          <w:tcPr>
            <w:tcW w:type="dxa" w:w="648"/>
          </w:tcPr>
          <w:p>
            <w:pPr>
              <w:spacing w:after="80" w:before="60"/>
            </w:pPr>
            <w:r>
              <w:rPr>
                <w:b w:val="0"/>
                <w:sz w:val="20"/>
              </w:rPr>
              <w:t>0</w:t>
            </w:r>
          </w:p>
        </w:tc>
        <w:tc>
          <w:tcPr>
            <w:tcW w:type="dxa" w:w="8352"/>
          </w:tcPr>
          <w:p>
            <w:pPr>
              <w:spacing w:after="80" w:before="60"/>
            </w:pPr>
            <w:r>
              <w:rPr>
                <w:b w:val="0"/>
                <w:sz w:val="20"/>
              </w:rPr>
              <w:t>Hidden reference for adults.</w:t>
            </w:r>
          </w:p>
        </w:tc>
      </w:tr>
    </w:tbl>
    <w:p>
      <w:pPr>
        <w:pStyle w:val="Heading1"/>
      </w:pPr>
      <w:r>
        <w:rPr>
          <w:b w:val="0"/>
        </w:rPr>
        <w:t>Hinge and reteach</w:t>
      </w:r>
    </w:p>
    <w:p>
      <w:r>
        <w:rPr>
          <w:b w:val="0"/>
        </w:rPr>
        <w:t>B. A faulty item can give the buyer rights to a remedy. Ask the seller to deal with the fault and keep proof of purchase. The remedy depends on the facts. A denies rights; C wrongly treats all returns alike. Contrast a sound item bought in a shop that the buyer simply no longer likes. If the reason is missing, re-model the key distinction and try a fresh case. A correct letter alone is not evidence of understanding.</w:t>
      </w:r>
    </w:p>
    <w:p>
      <w:pPr>
        <w:pStyle w:val="Heading1"/>
      </w:pPr>
      <w:r>
        <w:rPr>
          <w:b w:val="0"/>
        </w:rPr>
        <w:t>Access routes</w:t>
      </w:r>
    </w:p>
    <w:p>
      <w:r>
        <w:rPr>
          <w:b w:val="0"/>
        </w:rPr>
        <w:t>Supported: use counters or a calculator; read cases C and D aloud. Complete both budget and rights parts with pointing or scribing. Independent: calculate the budget, consider all six cases and explain a consumer choice. Aspire: explain how a missing cost or a different purchase fact changes the choice.</w:t>
      </w:r>
    </w:p>
    <w:p>
      <w:r>
        <w:rPr>
          <w:b w:val="0"/>
        </w:rPr>
        <w:t>Begin evidence during the 12-minute practice; use the six-minute capture to finish it. Accept pointing, speech, drawing or writing. Read and scribe without supplying the assessed reason. No forced pair work, cold calling or public performance.</w:t>
      </w:r>
    </w:p>
    <w:p>
      <w:r>
        <w:br w:type="page"/>
      </w:r>
    </w:p>
    <w:p>
      <w:pPr>
        <w:pStyle w:val="Heading1"/>
      </w:pPr>
      <w:r>
        <w:rPr>
          <w:b w:val="0"/>
        </w:rPr>
        <w:t>Safe discussion evidence and learner voice</w:t>
      </w:r>
    </w:p>
    <w:p>
      <w:pPr>
        <w:pStyle w:val="Heading1"/>
      </w:pPr>
      <w:r>
        <w:rPr>
          <w:b w:val="0"/>
        </w:rPr>
        <w:t>Boundaries and private help</w:t>
      </w:r>
    </w:p>
    <w:p>
      <w:r>
        <w:rPr>
          <w:b w:val="0"/>
        </w:rPr>
        <w:t>Use only the printed fictional amounts. Calculators and counters are allowed; record their use. Do not ask about pocket money, debt, family income or purchases. Do not collect receipts or account details. Teach the next step, not individual financial or legal advice.</w:t>
      </w:r>
    </w:p>
    <w:p>
      <w:r>
        <w:rPr>
          <w:b w:val="0"/>
        </w:rPr>
        <w:t>Keep cases fictional and allow a pass or a private alternative. If a concern arises, listen calmly, do not investigate in class or promise secrecy, and follow local safeguarding procedures. Keep safeguarding records separate from learning evidence. Help the learner reach another trusted adult if needed.</w:t>
      </w:r>
    </w:p>
    <w:p>
      <w:pPr>
        <w:pStyle w:val="Heading1"/>
      </w:pPr>
      <w:r>
        <w:rPr>
          <w:b w:val="0"/>
        </w:rPr>
        <w:t>Assessment and feedback</w:t>
      </w:r>
    </w:p>
    <w:p>
      <w:r>
        <w:rPr>
          <w:b w:val="0"/>
        </w:rPr>
        <w:t>Ari: £18 in; bus £4 + lunch £6 = £10 needed; £8 left. Adding a £5 magazine gives £15 total spending and £3 left. Without the magazine, £8 remains. Either choice is acceptable with a reason. Rights evidence must distinguish a fault from a change of mind and name the seller/help route.</w:t>
      </w:r>
    </w:p>
    <w:p>
      <w:r>
        <w:rPr>
          <w:b w:val="0"/>
        </w:rPr>
        <w:t>Retain the actual working, reason, response mode and support. A copied model or blank form is not completed evidence. Use VF · WS · I · NS+ (Yellow Box) · // (self-edit) · ? (read back) · R (responded) · E (evidence in the school's evidence record). R requires Voice, Audience, an NS+ prompt and the learner’s response in their own colour. Record E only when evidence has actually been banked.</w:t>
      </w:r>
    </w:p>
    <w:p>
      <w:pPr>
        <w:pStyle w:val="Heading1"/>
      </w:pPr>
      <w:r>
        <w:rPr>
          <w:b w:val="0"/>
        </w:rPr>
        <w:t>Lundy moments</w:t>
      </w:r>
    </w:p>
    <w:p>
      <w:r>
        <w:rPr>
          <w:b w:val="0"/>
        </w:rPr>
        <w:t>Space: a calm, non-personal way to respond. Voice: choose a view and explain it. Audience: the teaching adult listens or reads, then replies. Influence: record the learner’s requested support or next task and what changes as a result.</w:t>
      </w:r>
    </w:p>
    <w:p>
      <w:pPr>
        <w:pStyle w:val="Heading1"/>
      </w:pPr>
      <w:r>
        <w:rPr>
          <w:b w:val="0"/>
        </w:rPr>
        <w:t>Speaking listening and writing</w:t>
      </w:r>
    </w:p>
    <w:p>
      <w:r>
        <w:rPr>
          <w:b w:val="0"/>
        </w:rPr>
        <w:t>Possible communication evidence: explain a spending choice, listen to a different reason and write or dictate a calm message about a faulty item. The receiving teacher maps authentic responses to their own portfolio requirements. No communication criteria are assigned here.</w:t>
      </w:r>
    </w:p>
    <w:p>
      <w:pPr>
        <w:pStyle w:val="Heading1"/>
      </w:pPr>
      <w:r>
        <w:rPr>
          <w:b w:val="0"/>
        </w:rPr>
        <w:t>Staff reflection and provenance</w:t>
      </w:r>
    </w:p>
    <w:p>
      <w:r>
        <w:rPr>
          <w:b w:val="0"/>
        </w:rPr>
        <w:t>What was understood? __________________   What needs more practice? __________________</w:t>
        <w:br/>
        <w:t>Learner request and change made: __________________________________________________</w:t>
      </w:r>
    </w:p>
    <w:p>
      <w:r>
        <w:rPr>
          <w:b w:val="0"/>
        </w:rPr>
        <w:t>Scheme: lane1/main index, revision 840cc945; unchanged workbook revision 9ed44bdf, cells above. Calendar: owner order, 24 October 2026. Cases and model responses are locally authored. Full source URLs and limits are in FACTS_LEDGER.md. No award criteria or registration are inferred.</w:t>
      </w:r>
    </w:p>
    <w:sectPr w:rsidR="00FC693F" w:rsidRPr="0006063C" w:rsidSect="00034616">
      <w:headerReference w:type="default" r:id="rId9"/>
      <w:footerReference w:type="default" r:id="rId10"/>
      <w:pgSz w:w="11909" w:h="16834"/>
      <w:pgMar w:top="792" w:right="893" w:bottom="792" w:left="893" w:header="346"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sz w:val="14"/>
      </w:rPr>
      <w:t>Made by Matt · © Matt Roper · CC BY-NC-SA 4.0: free for classroom use, share and adapt with credit, no resale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r>
      <w:rPr>
        <w:sz w:val="18"/>
      </w:rPr>
      <w:t>PSHE-LAUNCH-A2-W01 · Public edition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2" w:lineRule="auto"/>
    </w:pPr>
    <w:rPr>
      <w:rFonts w:ascii="Arial" w:hAnsi="Arial"/>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20" w:line="252" w:lineRule="auto"/>
      <w:outlineLvl w:val="0"/>
    </w:pPr>
    <w:rPr>
      <w:rFonts w:asciiTheme="majorHAnsi" w:eastAsiaTheme="majorEastAsia" w:hAnsiTheme="majorHAnsi" w:cstheme="majorBidi" w:ascii="Arial" w:hAnsi="Arial"/>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00" w:after="120" w:line="252" w:lineRule="auto"/>
      <w:outlineLvl w:val="1"/>
    </w:pPr>
    <w:rPr>
      <w:rFonts w:asciiTheme="majorHAnsi" w:eastAsiaTheme="majorEastAsia" w:hAnsiTheme="majorHAnsi" w:cstheme="majorBidi" w:ascii="Arial" w:hAnsi="Arial"/>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20" w:line="252" w:lineRule="auto"/>
      <w:contextualSpacing/>
    </w:pPr>
    <w:rPr>
      <w:rFonts w:asciiTheme="majorHAnsi" w:eastAsiaTheme="majorEastAsia" w:hAnsiTheme="majorHAnsi" w:cstheme="majorBidi" w:ascii="Arial" w:hAnsi="Arial"/>
      <w:b/>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line="252" w:lineRule="auto"/>
    </w:pPr>
    <w:rPr>
      <w:rFonts w:ascii="Arial" w:hAnsi="Arial"/>
      <w:color w:val="000000"/>
      <w:sz w:val="21"/>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Teacher and cover planner</dc:title>
  <dc:subject>PSHE-LAUNCH-A2-W01</dc:subject>
  <dc:creator/>
  <cp:keywords/>
  <dc:description/>
  <cp:lastModifiedBy/>
  <cp:revision>1</cp:revision>
  <dcterms:created xsi:type="dcterms:W3CDTF">2026-10-24T00:00:00Z</dcterms:created>
  <dcterms:modified xsi:type="dcterms:W3CDTF">2026-10-24T00:00:00Z</dcterms:modified>
  <cp:category/>
</cp:coreProperties>
</file>