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Staff answers and response guide</w:t>
      </w:r>
    </w:p>
    <w:p>
      <w:r>
        <w:rPr>
          <w:b w:val="0"/>
        </w:rPr>
        <w:t>Work, skills and adult life</w:t>
      </w:r>
    </w:p>
    <w:p>
      <w:r>
        <w:rPr>
          <w:b w:val="0"/>
        </w:rPr>
        <w:t>These are possible responses to fictional cases, not observations of a learner. Accept other defensible answers where the facts, reason and next step fit.</w:t>
      </w:r>
    </w:p>
    <w:p>
      <w:pPr>
        <w:pStyle w:val="Heading1"/>
      </w:pPr>
      <w:r>
        <w:rPr>
          <w:b w:val="0"/>
        </w:rPr>
        <w:t>Case key</w:t>
      </w:r>
    </w:p>
    <w:tbl>
      <w:tblPr>
        <w:tblStyle w:val="TableGrid"/>
        <w:tblW w:type="auto" w:w="0"/>
        <w:tblLayout w:type="fixed"/>
        <w:tblLook w:firstColumn="1" w:firstRow="1" w:lastColumn="0" w:lastRow="0" w:noHBand="0" w:noVBand="1" w:val="04A0"/>
      </w:tblPr>
      <w:tblGrid>
        <w:gridCol w:w="936"/>
        <w:gridCol w:w="4320"/>
        <w:gridCol w:w="4680"/>
      </w:tblGrid>
      <w:tr>
        <w:trPr>
          <w:tblHeader/>
          <w:cantSplit/>
        </w:trPr>
        <w:tc>
          <w:tcPr>
            <w:tcW w:type="dxa" w:w="936"/>
          </w:tcPr>
          <w:p>
            <w:pPr>
              <w:spacing w:after="80" w:before="60"/>
            </w:pPr>
            <w:r>
              <w:rPr>
                <w:b/>
                <w:sz w:val="21"/>
              </w:rPr>
              <w:t>Case</w:t>
            </w:r>
          </w:p>
        </w:tc>
        <w:tc>
          <w:tcPr>
            <w:tcW w:type="dxa" w:w="4320"/>
          </w:tcPr>
          <w:p>
            <w:pPr>
              <w:spacing w:after="80" w:before="60"/>
            </w:pPr>
            <w:r>
              <w:rPr>
                <w:b/>
                <w:sz w:val="21"/>
              </w:rPr>
              <w:t>Judgement and fact</w:t>
            </w:r>
          </w:p>
        </w:tc>
        <w:tc>
          <w:tcPr>
            <w:tcW w:type="dxa" w:w="4680"/>
          </w:tcPr>
          <w:p>
            <w:pPr>
              <w:spacing w:after="80" w:before="60"/>
            </w:pPr>
            <w:r>
              <w:rPr>
                <w:b/>
                <w:sz w:val="21"/>
              </w:rPr>
              <w:t>Possible next step</w:t>
            </w:r>
          </w:p>
        </w:tc>
      </w:tr>
      <w:tr>
        <w:trPr>
          <w:cantSplit/>
        </w:trPr>
        <w:tc>
          <w:tcPr>
            <w:tcW w:type="dxa" w:w="936"/>
          </w:tcPr>
          <w:p>
            <w:pPr>
              <w:spacing w:after="80" w:before="60"/>
            </w:pPr>
            <w:r>
              <w:rPr>
                <w:b w:val="0"/>
                <w:sz w:val="21"/>
              </w:rPr>
              <w:t>A</w:t>
            </w:r>
          </w:p>
        </w:tc>
        <w:tc>
          <w:tcPr>
            <w:tcW w:type="dxa" w:w="4320"/>
          </w:tcPr>
          <w:p>
            <w:pPr>
              <w:spacing w:after="80" w:before="60"/>
            </w:pPr>
            <w:r>
              <w:rPr>
                <w:b w:val="0"/>
                <w:sz w:val="21"/>
              </w:rPr>
              <w:t>Useful step. They check what the customer wants.</w:t>
            </w:r>
          </w:p>
        </w:tc>
        <w:tc>
          <w:tcPr>
            <w:tcW w:type="dxa" w:w="4680"/>
          </w:tcPr>
          <w:p>
            <w:pPr>
              <w:spacing w:after="80" w:before="60"/>
            </w:pPr>
            <w:r>
              <w:rPr>
                <w:b w:val="0"/>
                <w:sz w:val="21"/>
              </w:rPr>
              <w:t>Listen, repeat the order and check it is right.</w:t>
            </w:r>
          </w:p>
        </w:tc>
      </w:tr>
      <w:tr>
        <w:trPr>
          <w:cantSplit/>
        </w:trPr>
        <w:tc>
          <w:tcPr>
            <w:tcW w:type="dxa" w:w="936"/>
          </w:tcPr>
          <w:p>
            <w:pPr>
              <w:spacing w:after="80" w:before="60"/>
            </w:pPr>
            <w:r>
              <w:rPr>
                <w:b w:val="0"/>
                <w:sz w:val="21"/>
              </w:rPr>
              <w:t>B</w:t>
            </w:r>
          </w:p>
        </w:tc>
        <w:tc>
          <w:tcPr>
            <w:tcW w:type="dxa" w:w="4320"/>
          </w:tcPr>
          <w:p>
            <w:pPr>
              <w:spacing w:after="80" w:before="60"/>
            </w:pPr>
            <w:r>
              <w:rPr>
                <w:b w:val="0"/>
                <w:sz w:val="21"/>
              </w:rPr>
              <w:t>Useful step. They compare details before acting.</w:t>
            </w:r>
          </w:p>
        </w:tc>
        <w:tc>
          <w:tcPr>
            <w:tcW w:type="dxa" w:w="4680"/>
          </w:tcPr>
          <w:p>
            <w:pPr>
              <w:spacing w:after="80" w:before="60"/>
            </w:pPr>
            <w:r>
              <w:rPr>
                <w:b w:val="0"/>
                <w:sz w:val="21"/>
              </w:rPr>
              <w:t>Follow the agreed storage task and ask about a mismatch.</w:t>
            </w:r>
          </w:p>
        </w:tc>
      </w:tr>
      <w:tr>
        <w:trPr>
          <w:cantSplit/>
        </w:trPr>
        <w:tc>
          <w:tcPr>
            <w:tcW w:type="dxa" w:w="936"/>
          </w:tcPr>
          <w:p>
            <w:pPr>
              <w:spacing w:after="80" w:before="60"/>
            </w:pPr>
            <w:r>
              <w:rPr>
                <w:b w:val="0"/>
                <w:sz w:val="21"/>
              </w:rPr>
              <w:t>C</w:t>
            </w:r>
          </w:p>
        </w:tc>
        <w:tc>
          <w:tcPr>
            <w:tcW w:type="dxa" w:w="4320"/>
          </w:tcPr>
          <w:p>
            <w:pPr>
              <w:spacing w:after="80" w:before="60"/>
            </w:pPr>
            <w:r>
              <w:rPr>
                <w:b w:val="0"/>
                <w:sz w:val="21"/>
              </w:rPr>
              <w:t>Needs a change. The workplace will not know about the delay.</w:t>
            </w:r>
          </w:p>
        </w:tc>
        <w:tc>
          <w:tcPr>
            <w:tcW w:type="dxa" w:w="4680"/>
          </w:tcPr>
          <w:p>
            <w:pPr>
              <w:spacing w:after="80" w:before="60"/>
            </w:pPr>
            <w:r>
              <w:rPr>
                <w:b w:val="0"/>
                <w:sz w:val="21"/>
              </w:rPr>
              <w:t>Contact the named supervisor using the agreed route.</w:t>
            </w:r>
          </w:p>
        </w:tc>
      </w:tr>
      <w:tr>
        <w:trPr>
          <w:cantSplit/>
        </w:trPr>
        <w:tc>
          <w:tcPr>
            <w:tcW w:type="dxa" w:w="936"/>
          </w:tcPr>
          <w:p>
            <w:pPr>
              <w:spacing w:after="80" w:before="60"/>
            </w:pPr>
            <w:r>
              <w:rPr>
                <w:b w:val="0"/>
                <w:sz w:val="21"/>
              </w:rPr>
              <w:t>D</w:t>
            </w:r>
          </w:p>
        </w:tc>
        <w:tc>
          <w:tcPr>
            <w:tcW w:type="dxa" w:w="4320"/>
          </w:tcPr>
          <w:p>
            <w:pPr>
              <w:spacing w:after="80" w:before="60"/>
            </w:pPr>
            <w:r>
              <w:rPr>
                <w:b w:val="0"/>
                <w:sz w:val="21"/>
              </w:rPr>
              <w:t>Check first. The worker has not been shown safe use.</w:t>
            </w:r>
          </w:p>
        </w:tc>
        <w:tc>
          <w:tcPr>
            <w:tcW w:type="dxa" w:w="4680"/>
          </w:tcPr>
          <w:p>
            <w:pPr>
              <w:spacing w:after="80" w:before="60"/>
            </w:pPr>
            <w:r>
              <w:rPr>
                <w:b w:val="0"/>
                <w:sz w:val="21"/>
              </w:rPr>
              <w:t>Pause and ask the supervisor for training and support.</w:t>
            </w:r>
          </w:p>
        </w:tc>
      </w:tr>
      <w:tr>
        <w:trPr>
          <w:cantSplit/>
        </w:trPr>
        <w:tc>
          <w:tcPr>
            <w:tcW w:type="dxa" w:w="936"/>
          </w:tcPr>
          <w:p>
            <w:pPr>
              <w:spacing w:after="80" w:before="60"/>
            </w:pPr>
            <w:r>
              <w:rPr>
                <w:b w:val="0"/>
                <w:sz w:val="21"/>
              </w:rPr>
              <w:t>E</w:t>
            </w:r>
          </w:p>
        </w:tc>
        <w:tc>
          <w:tcPr>
            <w:tcW w:type="dxa" w:w="4320"/>
          </w:tcPr>
          <w:p>
            <w:pPr>
              <w:spacing w:after="80" w:before="60"/>
            </w:pPr>
            <w:r>
              <w:rPr>
                <w:b w:val="0"/>
                <w:sz w:val="21"/>
              </w:rPr>
              <w:t>Useful step. Robin keeps track of the date and cost.</w:t>
            </w:r>
          </w:p>
        </w:tc>
        <w:tc>
          <w:tcPr>
            <w:tcW w:type="dxa" w:w="4680"/>
          </w:tcPr>
          <w:p>
            <w:pPr>
              <w:spacing w:after="80" w:before="60"/>
            </w:pPr>
            <w:r>
              <w:rPr>
                <w:b w:val="0"/>
                <w:sz w:val="21"/>
              </w:rPr>
              <w:t>Plan for the bill and ask for help if the money is short.</w:t>
            </w:r>
          </w:p>
        </w:tc>
      </w:tr>
      <w:tr>
        <w:trPr>
          <w:cantSplit/>
        </w:trPr>
        <w:tc>
          <w:tcPr>
            <w:tcW w:type="dxa" w:w="936"/>
          </w:tcPr>
          <w:p>
            <w:pPr>
              <w:spacing w:after="80" w:before="60"/>
            </w:pPr>
            <w:r>
              <w:rPr>
                <w:b w:val="0"/>
                <w:sz w:val="21"/>
              </w:rPr>
              <w:t>F</w:t>
            </w:r>
          </w:p>
        </w:tc>
        <w:tc>
          <w:tcPr>
            <w:tcW w:type="dxa" w:w="4320"/>
          </w:tcPr>
          <w:p>
            <w:pPr>
              <w:spacing w:after="80" w:before="60"/>
            </w:pPr>
            <w:r>
              <w:rPr>
                <w:b w:val="0"/>
                <w:sz w:val="21"/>
              </w:rPr>
              <w:t>Check first. The title alone is not enough to choose a route.</w:t>
            </w:r>
          </w:p>
        </w:tc>
        <w:tc>
          <w:tcPr>
            <w:tcW w:type="dxa" w:w="4680"/>
          </w:tcPr>
          <w:p>
            <w:pPr>
              <w:spacing w:after="80" w:before="60"/>
            </w:pPr>
            <w:r>
              <w:rPr>
                <w:b w:val="0"/>
                <w:sz w:val="21"/>
              </w:rPr>
              <w:t>Use a job profile with a careers adviser to check the role.</w:t>
            </w:r>
          </w:p>
        </w:tc>
      </w:tr>
    </w:tbl>
    <w:p>
      <w:pPr>
        <w:pStyle w:val="Heading1"/>
      </w:pPr>
      <w:r>
        <w:rPr>
          <w:b w:val="0"/>
        </w:rPr>
        <w:t>Teacher model and hinge</w:t>
      </w:r>
    </w:p>
    <w:p>
      <w:r>
        <w:rPr>
          <w:b w:val="0"/>
        </w:rPr>
        <w:t>Alex starts a stockroom role. Task: check boxes against a list. Skill: check details with care. Alex asks for the task to be shown. Alex checks the start time and travel plan. If unsure, Alex asks the supervisor.</w:t>
      </w:r>
    </w:p>
    <w:p>
      <w:r>
        <w:rPr>
          <w:b w:val="0"/>
        </w:rPr>
        <w:t>C. Ask the supervisor to explain and show the safe task before attempting it. Employers must provide suitable training and supervision. A and B do not establish safe competence. Asking for support is responsible; being an adult does not mean doing everything alone.</w:t>
      </w:r>
    </w:p>
    <w:p>
      <w:pPr>
        <w:pStyle w:val="Heading1"/>
      </w:pPr>
      <w:r>
        <w:rPr>
          <w:b w:val="0"/>
        </w:rPr>
        <w:t>Individual evidence key</w:t>
      </w:r>
    </w:p>
    <w:p>
      <w:r>
        <w:rPr>
          <w:b w:val="0"/>
        </w:rPr>
        <w:t>Cafe assistant: listening helps check an order; clear speech helps confirm it. Stock assistant: checking details helps match items to a list. Accept other justified links. Route questions may ask about training, entry requirements, supported routes or work experience. For C, communicate the delay; D, pause and seek training; E, plan the payment and seek help if short.</w:t>
      </w:r>
    </w:p>
    <w:p>
      <w:r>
        <w:br w:type="page"/>
      </w:r>
    </w:p>
    <w:p>
      <w:pPr>
        <w:pStyle w:val="Heading1"/>
      </w:pPr>
      <w:r>
        <w:rPr>
          <w:b w:val="0"/>
        </w:rPr>
        <w:t>Feedback and safe teaching</w:t>
      </w:r>
    </w:p>
    <w:p>
      <w:r>
        <w:rPr>
          <w:b w:val="0"/>
        </w:rPr>
        <w:t>Case A: Links listening and clear speech to the task. A quiet supported response is valid.</w:t>
      </w:r>
    </w:p>
    <w:p>
      <w:r>
        <w:rPr>
          <w:b w:val="0"/>
        </w:rPr>
        <w:t>Case B: Links reading/checking detail to the role; do not imply that speed matters more than accuracy.</w:t>
      </w:r>
    </w:p>
    <w:p>
      <w:r>
        <w:rPr>
          <w:b w:val="0"/>
        </w:rPr>
        <w:t>Case C: A late bus can be outside the person’s control. Assess the communication choice without blame.</w:t>
      </w:r>
    </w:p>
    <w:p>
      <w:r>
        <w:rPr>
          <w:b w:val="0"/>
        </w:rPr>
        <w:t>Case D: No live machinery or unsafe role-play. Employer duties remain; responsibility is not only on the worker.</w:t>
      </w:r>
    </w:p>
    <w:p>
      <w:r>
        <w:rPr>
          <w:b w:val="0"/>
        </w:rPr>
        <w:t>Case E: An adult-life example, not an instruction for pupils to pay a bill or disclose family debt.</w:t>
      </w:r>
    </w:p>
    <w:p>
      <w:r>
        <w:rPr>
          <w:b w:val="0"/>
        </w:rPr>
        <w:t>Case F: Different jobs and learners may use different routes. Do not guarantee a vacancy or qualification outcome.</w:t>
      </w:r>
    </w:p>
    <w:p>
      <w:pPr>
        <w:pStyle w:val="Heading1"/>
      </w:pPr>
      <w:r>
        <w:rPr>
          <w:b w:val="0"/>
        </w:rPr>
        <w:t>Common misunderstandings</w:t>
      </w:r>
    </w:p>
    <w:p>
      <w:r>
        <w:rPr>
          <w:b w:val="0"/>
        </w:rPr>
        <w:t>A job title does not tell us every task or entry requirement. Skills can develop with practice and support. Adult responsibility includes asking for help. Unpaid caring and volunteering also use skills; paid employment is not a measure of a person’s worth.</w:t>
      </w:r>
    </w:p>
    <w:p>
      <w:pPr>
        <w:pStyle w:val="Heading1"/>
      </w:pPr>
      <w:r>
        <w:rPr>
          <w:b w:val="0"/>
        </w:rPr>
        <w:t>Teaching boundary</w:t>
      </w:r>
    </w:p>
    <w:p>
      <w:r>
        <w:rPr>
          <w:b w:val="0"/>
        </w:rPr>
        <w:t>Use fictional adults, roles and bills. Do not ask pupils to describe family employment, benefit claims or caring duties. Do not operate machinery or contact real employers. A class role card is a starting point for discussion, not a promise of entry, pay or vacancy.</w:t>
      </w:r>
    </w:p>
    <w:p>
      <w:pPr>
        <w:pStyle w:val="Heading1"/>
      </w:pPr>
      <w:r>
        <w:rPr>
          <w:b w:val="0"/>
        </w:rPr>
        <w:t>Response and next teaching step</w:t>
      </w:r>
    </w:p>
    <w:p>
      <w:r>
        <w:rPr>
          <w:b w:val="0"/>
        </w:rPr>
        <w:t>If the reason is vague, return to the case words or working. If a fact is missing, ask what must be checked and with whom. Re-model one new example, then retain the learner’s own revision. Use the NS+ prompt and learner response in their own colour before recording R. E means evidence actually banked in the school's evidence record, not a promise to upload.</w:t>
      </w:r>
    </w:p>
    <w:p>
      <w:pPr>
        <w:pStyle w:val="Heading1"/>
      </w:pPr>
      <w:r>
        <w:rPr>
          <w:b w:val="0"/>
        </w:rPr>
        <w:t>Private help and assessment boundary</w:t>
      </w:r>
    </w:p>
    <w:p>
      <w:r>
        <w:rPr>
          <w:b w:val="0"/>
        </w:rPr>
        <w:t>Identify the school support route. Listen without investigating in class; never promise secrecy. Use the local safeguarding procedure, separate from lesson evidence. LAUNCH-PSHE-W2-E1 is formative evidence. The December task remains in December; this pack claims no criterion or award completion. Sources: FACTS_LEDGER.md.</w:t>
      </w:r>
    </w:p>
    <w:sectPr w:rsidR="00FC693F" w:rsidRPr="0006063C" w:rsidSect="00034616">
      <w:headerReference w:type="default" r:id="rId9"/>
      <w:footerReference w:type="default" r:id="rId10"/>
      <w:pgSz w:w="11909" w:h="16834"/>
      <w:pgMar w:top="792" w:right="893" w:bottom="792" w:left="893" w:header="346"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4"/>
      </w:rPr>
      <w:t>Made by Matt · © Matt Roper · CC BY-NC-SA 4.0: free for classroom use, share and adapt with credit, no resale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8"/>
      </w:rPr>
      <w:t>PSHE-LAUNCH-A2-W02 · School and Public resource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2" w:lineRule="auto"/>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line="252" w:lineRule="auto"/>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2" w:lineRule="auto"/>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2" w:lineRule="auto"/>
    </w:pPr>
    <w:rPr>
      <w:rFonts w:ascii="Arial" w:hAnsi="Arial"/>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Staff answers and response guide</dc:title>
  <dc:subject>PSHE-LAUNCH-A2-W02</dc:subject>
  <dc:creator/>
  <cp:keywords/>
  <dc:description/>
  <cp:lastModifiedBy/>
  <cp:revision>1</cp:revision>
  <dcterms:created xsi:type="dcterms:W3CDTF">2026-10-24T00:00:00Z</dcterms:created>
  <dcterms:modified xsi:type="dcterms:W3CDTF">2026-10-24T00:00:00Z</dcterms:modified>
  <cp:category/>
</cp:coreProperties>
</file>