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Personal safety and safer choices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Safer route. There is a staffed place to ask for help.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Go to reception and ask staff to help contact a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Risk. The person and lift are not verified.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accept or share location; ask a trusted adult to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Risk. The site is closed and access is not permitted.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Stay out and use an agreed open route.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first. The new collector has not been confirmed.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Stay with staff and check the change through the agreed contact route.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Support needed. Jo’s boundary is not being respected.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Move towards a suitable safe, staffed place and seek adult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Emergency. The person is unconscious.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Call 999 and get adult help now.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Alex misses the bus after a club. Fact: the planned ride has gone. Risk: being stuck without safe travel. Alex goes to the club’s staffed reception. Alex asks staff to help contact a trusted adult. They check a safe travel plan together.</w:t>
      </w:r>
    </w:p>
    <w:p>
      <w:r>
        <w:rPr>
          <w:b w:val="0"/>
        </w:rPr>
        <w:t>B. The driver and offer are not verified. Alex should remain in a suitable staffed place and ask a trusted adult to help check an agreed travel option. A friendly tone is not evidence of safety. Reteach with an unexpected change to a collection plan. Do not teach that all strangers are dangerous or that familiar people cannot cause harm.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Credit an explicit clue, a plausible risk and an action that reduces it, plus an adult/support route. For A use staffed reception; B do not accept an unverified lift; C avoid the closed site; D confirm through staff; E seek support for ignored boundaries; F call 999. Do not award certainty from an unsupported guess or blame a victim.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Do not prescribe a route to a real pupil or collect their journey details.</w:t>
      </w:r>
    </w:p>
    <w:p>
      <w:r>
        <w:rPr>
          <w:b w:val="0"/>
        </w:rPr>
        <w:t>Card B: Friendliness, profile pictures and follower counts do not prove identity.</w:t>
      </w:r>
    </w:p>
    <w:p>
      <w:r>
        <w:rPr>
          <w:b w:val="0"/>
        </w:rPr>
        <w:t>Card C: Do not explore a real site or ask pupils to act out trespass.</w:t>
      </w:r>
    </w:p>
    <w:p>
      <w:r>
        <w:rPr>
          <w:b w:val="0"/>
        </w:rPr>
        <w:t>Card D: Use school collection procedures. Do not make up a promise that a particular adult will attend.</w:t>
      </w:r>
    </w:p>
    <w:p>
      <w:r>
        <w:rPr>
          <w:b w:val="0"/>
        </w:rPr>
        <w:t>Card E: Do not imply that refusal alone prevents harm. Responsibility belongs to the person causing harm.</w:t>
      </w:r>
    </w:p>
    <w:p>
      <w:r>
        <w:rPr>
          <w:b w:val="0"/>
        </w:rPr>
        <w:t>Card F: Follow emergency-service instructions; do not practise physical first aid or make a real call in class.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hazard is a potential cause of harm; risk is the chance of harm. Familiarity and friendliness do not guarantee safety. A safer plan reduces risk but cannot guarantee nothing will happen. Someone who is harmed is not to blame for another person’s behaviour.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fictional situations and a pass option. Do not rehearse threats, harassment, being followed or a collapse. Avoid victim-blaming. Listen calmly to a real concern and follow local safeguarding arrangements separately from learning evidence. Emergency examples are verbal only.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LAUNCH-PSHE-W3-E1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