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Drugs alcohol and healthy choices</w:t>
      </w:r>
    </w:p>
    <w:p>
      <w:r>
        <w:rPr>
          <w:b w:val="0"/>
        </w:rPr>
        <w:t>These are possible responses and task guides, not learner observations. Accept a defensible answer based on the facts or actual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Judgement or step</w:t>
            </w:r>
          </w:p>
        </w:tc>
        <w:tc>
          <w:tcPr>
            <w:tcW w:type="dxa" w:w="4680"/>
          </w:tcPr>
          <w:p>
            <w:pPr>
              <w:spacing w:after="80" w:before="60"/>
            </w:pPr>
            <w:r>
              <w:rPr>
                <w:b/>
                <w:sz w:val="21"/>
              </w:rPr>
              <w:t>Possible action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Do not take. The contents are not known.</w:t>
            </w:r>
          </w:p>
        </w:tc>
        <w:tc>
          <w:tcPr>
            <w:tcW w:type="dxa" w:w="4680"/>
          </w:tcPr>
          <w:p>
            <w:pPr>
              <w:spacing w:after="80" w:before="60"/>
            </w:pPr>
            <w:r>
              <w:rPr>
                <w:b w:val="0"/>
                <w:sz w:val="21"/>
              </w:rPr>
              <w:t>Decline and tell a trusted adult.</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Check advice. The instructions need checking.</w:t>
            </w:r>
          </w:p>
        </w:tc>
        <w:tc>
          <w:tcPr>
            <w:tcW w:type="dxa" w:w="4680"/>
          </w:tcPr>
          <w:p>
            <w:pPr>
              <w:spacing w:after="80" w:before="60"/>
            </w:pPr>
            <w:r>
              <w:rPr>
                <w:b w:val="0"/>
                <w:sz w:val="21"/>
              </w:rPr>
              <w:t>Ask the authorised adult, pharmacist or prescriber.</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Check the claim. The claim conflicts with health information.</w:t>
            </w:r>
          </w:p>
        </w:tc>
        <w:tc>
          <w:tcPr>
            <w:tcW w:type="dxa" w:w="4680"/>
          </w:tcPr>
          <w:p>
            <w:pPr>
              <w:spacing w:after="80" w:before="60"/>
            </w:pPr>
            <w:r>
              <w:rPr>
                <w:b w:val="0"/>
                <w:sz w:val="21"/>
              </w:rPr>
              <w:t>Use a reliable source; choose a non-alcoholic option.</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Risk. Substances may interact and increase harm.</w:t>
            </w:r>
          </w:p>
        </w:tc>
        <w:tc>
          <w:tcPr>
            <w:tcW w:type="dxa" w:w="4680"/>
          </w:tcPr>
          <w:p>
            <w:pPr>
              <w:spacing w:after="80" w:before="60"/>
            </w:pPr>
            <w:r>
              <w:rPr>
                <w:b w:val="0"/>
                <w:sz w:val="21"/>
              </w:rPr>
              <w:t>Do not mix them; seek qualified advice about medicines.</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Support choice. Kai has a clear boundary and support route.</w:t>
            </w:r>
          </w:p>
        </w:tc>
        <w:tc>
          <w:tcPr>
            <w:tcW w:type="dxa" w:w="4680"/>
          </w:tcPr>
          <w:p>
            <w:pPr>
              <w:spacing w:after="80" w:before="60"/>
            </w:pPr>
            <w:r>
              <w:rPr>
                <w:b w:val="0"/>
                <w:sz w:val="21"/>
              </w:rPr>
              <w:t>Say no if able, move away and contact the trusted adult.</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Emergency. They are unconscious.</w:t>
            </w:r>
          </w:p>
        </w:tc>
        <w:tc>
          <w:tcPr>
            <w:tcW w:type="dxa" w:w="4680"/>
          </w:tcPr>
          <w:p>
            <w:pPr>
              <w:spacing w:after="80" w:before="60"/>
            </w:pPr>
            <w:r>
              <w:rPr>
                <w:b w:val="0"/>
                <w:sz w:val="21"/>
              </w:rPr>
              <w:t>Call 999 for an ambulance and get adult help now.</w:t>
            </w:r>
          </w:p>
        </w:tc>
      </w:tr>
    </w:tbl>
    <w:p>
      <w:pPr>
        <w:pStyle w:val="Heading1"/>
      </w:pPr>
      <w:r>
        <w:rPr>
          <w:b w:val="0"/>
        </w:rPr>
        <w:t>Model and hinge</w:t>
      </w:r>
    </w:p>
    <w:p>
      <w:r>
        <w:rPr>
          <w:b w:val="0"/>
        </w:rPr>
        <w:t>A drug can affect the body or brain. Medicines can help when used as directed. Alcohol can affect judgement and balance. Mixing alcohol and other drugs can add harm. An unknown pill cannot be checked by looks. Pause. Ask a trusted adult or pharmacist.</w:t>
      </w:r>
    </w:p>
    <w:p>
      <w:r>
        <w:rPr>
          <w:b w:val="0"/>
        </w:rPr>
        <w:t>C. Appearance and a friend’s reassurance do not establish what a tablet contains or whether it is safe. Do not taste, smell or handle unknown substances. If something harmful may already have been taken, seek urgent medical help; do not wait for this classroom routine. Reteach with an unlabelled container, without a real prop.</w:t>
      </w:r>
    </w:p>
    <w:p>
      <w:pPr>
        <w:pStyle w:val="Heading1"/>
      </w:pPr>
      <w:r>
        <w:rPr>
          <w:b w:val="0"/>
        </w:rPr>
        <w:t>Individual evidence key</w:t>
      </w:r>
    </w:p>
    <w:p>
      <w:r>
        <w:rPr>
          <w:b w:val="0"/>
        </w:rPr>
        <w:t>Accept: medicines used as directed can help; unknown tablets cannot be identified by appearance; alcohol can affect judgement/balance; mixing can increase harm. Link the fact to a choice, not a moral judgement. A clear refusal, moving to support or a pharmacist query is valid. Unconsciousness/serious breathing problems need 999; suspected harmful poisoning needs urgent emergency help.</w:t>
      </w:r>
    </w:p>
    <w:p>
      <w:r>
        <w:br w:type="page"/>
      </w:r>
    </w:p>
    <w:p>
      <w:pPr>
        <w:pStyle w:val="Heading1"/>
      </w:pPr>
      <w:r>
        <w:rPr>
          <w:b w:val="0"/>
        </w:rPr>
        <w:t>Feedback boundaries and next teaching</w:t>
      </w:r>
    </w:p>
    <w:p>
      <w:r>
        <w:rPr>
          <w:b w:val="0"/>
        </w:rPr>
        <w:t>Card A: No real tablets or realistic handling activity. “Only a little” is not a safe way to identify a substance.</w:t>
      </w:r>
    </w:p>
    <w:p>
      <w:r>
        <w:rPr>
          <w:b w:val="0"/>
        </w:rPr>
        <w:t>Card B: Medicines can be beneficial. Do not advise stopping, sharing or changing treatment; follow the setting medicines policy.</w:t>
      </w:r>
    </w:p>
    <w:p>
      <w:r>
        <w:rPr>
          <w:b w:val="0"/>
        </w:rPr>
        <w:t>Card C: Alcohol can affect coordination and judgement. Do not use intoxication simulations.</w:t>
      </w:r>
    </w:p>
    <w:p>
      <w:r>
        <w:rPr>
          <w:b w:val="0"/>
        </w:rPr>
        <w:t>Card D: Avoid dosage, combinations or instructions for use. Do not supply adult drinking limits to this age group.</w:t>
      </w:r>
    </w:p>
    <w:p>
      <w:r>
        <w:rPr>
          <w:b w:val="0"/>
        </w:rPr>
        <w:t>Card E: No pupil plays a coercive peer. Adults can read a neutral line; refusal is not the person’s only protection.</w:t>
      </w:r>
    </w:p>
    <w:p>
      <w:r>
        <w:rPr>
          <w:b w:val="0"/>
        </w:rPr>
        <w:t>Card F: Follow the call handler. Do not leave them to sleep it off, give food/drink or make them vomit. No physical demonstration in this lesson.</w:t>
      </w:r>
    </w:p>
    <w:p>
      <w:pPr>
        <w:pStyle w:val="Heading1"/>
      </w:pPr>
      <w:r>
        <w:rPr>
          <w:b w:val="0"/>
        </w:rPr>
        <w:t>Common misunderstandings</w:t>
      </w:r>
    </w:p>
    <w:p>
      <w:r>
        <w:rPr>
          <w:b w:val="0"/>
        </w:rPr>
        <w:t>Not all drugs are illegal or the same: prescribed medicines can help. A legal product is not automatically harmless. A friend’s confidence or a tablet’s colour does not prove safety. A healthy choice includes getting support; shame and blame can stop people asking for help.</w:t>
      </w:r>
    </w:p>
    <w:p>
      <w:pPr>
        <w:pStyle w:val="Heading1"/>
      </w:pPr>
      <w:r>
        <w:rPr>
          <w:b w:val="0"/>
        </w:rPr>
        <w:t>Teaching boundary</w:t>
      </w:r>
    </w:p>
    <w:p>
      <w:r>
        <w:rPr>
          <w:b w:val="0"/>
        </w:rPr>
        <w:t>Use third-person cases. Do not ask about pupil or family substance use, medication or diagnoses. No scare images, intoxication role-play, use instructions, doses, procurement or real drug handling. Do not change prescribed treatment. For a live suspected poisoning or emergency, stop the lesson routine and follow emergency procedures.</w:t>
      </w:r>
    </w:p>
    <w:p>
      <w:pPr>
        <w:pStyle w:val="Heading1"/>
      </w:pPr>
      <w:r>
        <w:rPr>
          <w:b w:val="0"/>
        </w:rPr>
        <w:t>Feedback</w:t>
      </w:r>
    </w:p>
    <w:p>
      <w:r>
        <w:rPr>
          <w:b w:val="0"/>
        </w:rPr>
        <w:t>If a reason is missing, return to the fact or actual work. Re-model a different example, then keep the learner’s own revision. Use NS+ and the learner response in their own colour before R. E means evidence actually banked. Keep safeguarding records separate.</w:t>
      </w:r>
    </w:p>
    <w:p>
      <w:pPr>
        <w:pStyle w:val="Heading1"/>
      </w:pPr>
      <w:r>
        <w:rPr>
          <w:b w:val="0"/>
        </w:rPr>
        <w:t>Assessment boundary</w:t>
      </w:r>
    </w:p>
    <w:p>
      <w:r>
        <w:rPr>
          <w:b w:val="0"/>
        </w:rPr>
        <w:t>LAUNCH-PSHE-W4-E1 contributes to the source assessment. No criterion, registration or award completion is invented.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PSHE-LAUNCH-A2-W04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PSHE-LAUNCH-A2-W04</dc:subject>
  <dc:creator/>
  <cp:keywords/>
  <dc:description/>
  <cp:lastModifiedBy/>
  <cp:revision>1</cp:revision>
  <dcterms:created xsi:type="dcterms:W3CDTF">2026-10-24T00:00:00Z</dcterms:created>
  <dcterms:modified xsi:type="dcterms:W3CDTF">2026-10-24T00:00:00Z</dcterms:modified>
  <cp:category/>
</cp:coreProperties>
</file>