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Adult life choices and responsibilities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Money task. Total planned spending is £13.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Show £20 minus £6 minus £7; £7 remains.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Work task. The instruction is not understood.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the supervisor to explain before starting.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Privacy task. The information belongs to someone else.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share it; seek trusted-adult help if pressured.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Personal safety. The new plan is unconfirmed.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Stay with suitable staff and check the agreed contact route.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Participation. Only one way to contribute is offered.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for a written or other accessible option.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Health choice. The contents and effects are unknown.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take it; move to support and tell a trusted adult.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Model: Jo has £15 for travel and food. Travel costs £4 and food costs £5. £15 − £4 − £5 = £6 left. Jo keeps the £6 for later needs. If a cost is unclear, Jo checks before spending. Jo records the sum and the reason for the choice.</w:t>
      </w:r>
    </w:p>
    <w:p>
      <w:r>
        <w:rPr>
          <w:b w:val="0"/>
        </w:rPr>
        <w:t>C. Clarify before acting, especially where safety or money is involved. Asking for help is responsible. Reteach with a harmless packing instruction, then use a fresh task to assess the learner’s own decision.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A: £7 remains, with a visible calculation or explained counter method. B: ask the supervisor to clarify the unclear step before acting, with a reason. C: do not share someone’s private address; use trusted support if pressured. Require all three core tasks, record help and leave gaps explicit. Prior work supports review but does not replace missing current responses.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Core task: fictional prices, not current market prices or personal finances. Accept counters/number line; record support.</w:t>
      </w:r>
    </w:p>
    <w:p>
      <w:r>
        <w:rPr>
          <w:b w:val="0"/>
        </w:rPr>
        <w:t>Card B: Core task: assess a clear question and reason. No live work placement is assumed.</w:t>
      </w:r>
    </w:p>
    <w:p>
      <w:r>
        <w:rPr>
          <w:b w:val="0"/>
        </w:rPr>
        <w:t>Card C: Core task: link privacy/respect to a clear action.</w:t>
      </w:r>
    </w:p>
    <w:p>
      <w:r>
        <w:rPr>
          <w:b w:val="0"/>
        </w:rPr>
        <w:t>Card D: Optional transfer. Do not collect a real travel plan.</w:t>
      </w:r>
    </w:p>
    <w:p>
      <w:r>
        <w:rPr>
          <w:b w:val="0"/>
        </w:rPr>
        <w:t>Card E: Optional transfer links to Week 6 without article numbers.</w:t>
      </w:r>
    </w:p>
    <w:p>
      <w:r>
        <w:rPr>
          <w:b w:val="0"/>
        </w:rPr>
        <w:t>Card F: Optional transfer. No props or real substances; real poisoning concerns need urgent medical help.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responsible adult can ask for help. Fictional prices do not establish a real budget. Accuracy matters more than appearing confident. This task contributes to the source assessment without proving an award is complete.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Use fictional money, work and safety cases. No personal finance, family or substance-use disclosure is required. Do not start real purchases or contact workplaces. Safeguarding concerns go through the separate staff route.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LAUNCH-PSHE-W7-E1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PSHE-LAUNCH-A2-W07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