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Teacher and cover planner</w:t>
      </w:r>
    </w:p>
    <w:p>
      <w:r>
        <w:rPr>
          <w:b/>
        </w:rPr>
        <w:t>The Mission · Explaining progress and next steps</w:t>
      </w:r>
    </w:p>
    <w:p>
      <w:r>
        <w:rPr>
          <w:b w:val="0"/>
        </w:rPr>
        <w:t>Monday 14–Friday 18 December 2026 · lesson 2 of 2 · 40 minutes</w:t>
      </w:r>
    </w:p>
    <w:p>
      <w:r>
        <w:rPr>
          <w:b w:val="0"/>
        </w:rPr>
        <w:t>Teaching date: __________________   Teacher: __________________</w:t>
      </w:r>
    </w:p>
    <w:p>
      <w:pPr>
        <w:pStyle w:val="Heading1"/>
      </w:pPr>
      <w:r>
        <w:rPr>
          <w:b w:val="0"/>
        </w:rPr>
        <w:t>Exact scheme cells</w:t>
      </w:r>
    </w:p>
    <w:p>
      <w:r>
        <w:rPr>
          <w:b w:val="0"/>
        </w:rPr>
        <w:t>LAUNCH Weekly - Autumn!C143</w:t>
        <w:br/>
        <w:t>Hospitality portfolio (Dec).</w:t>
      </w:r>
    </w:p>
    <w:p>
      <w:r>
        <w:rPr>
          <w:b w:val="0"/>
        </w:rPr>
        <w:t>LAUNCH - Autumn!D23</w:t>
        <w:br/>
        <w:t>Hospitality &amp; catering basics</w:t>
      </w:r>
    </w:p>
    <w:p>
      <w:r>
        <w:rPr>
          <w:b w:val="0"/>
        </w:rPr>
        <w:t>LAUNCH - Autumn!I23</w:t>
        <w:br/>
        <w:t>[AWARD] [QUAL] / [QUAL] short course; [AWARD] [QUAL], ‘[QUAL]’, ‘[QUAL]’.</w:t>
      </w:r>
    </w:p>
    <w:p>
      <w:r>
        <w:rPr>
          <w:b w:val="0"/>
        </w:rPr>
        <w:t>LAUNCH - Autumn!J23</w:t>
        <w:br/>
        <w:t>F: service-task observation.  S: hospitality enterprise evidence + unit (Dec data drop).</w:t>
      </w:r>
    </w:p>
    <w:p>
      <w:r>
        <w:rPr>
          <w:b w:val="0"/>
        </w:rPr>
        <w:t>The source assessment is retained. This lesson contributes evidence; it does not by itself complete an award. Public award labels are masked only.</w:t>
      </w:r>
    </w:p>
    <w:p>
      <w:pPr>
        <w:pStyle w:val="Heading1"/>
      </w:pPr>
      <w:r>
        <w:rPr>
          <w:b w:val="0"/>
        </w:rPr>
        <w:t>Purpose and success checks</w:t>
      </w:r>
    </w:p>
    <w:p>
      <w:r>
        <w:rPr>
          <w:b w:val="0"/>
        </w:rPr>
        <w:t>The weekly scheme line above is shared across two lessons. This lesson focuses on explaining progress and next steps.</w:t>
      </w:r>
    </w:p>
    <w:p>
      <w:r>
        <w:rPr>
          <w:b w:val="0"/>
        </w:rPr>
        <w:t>How can I explain my progress using my own evidence?</w:t>
      </w:r>
    </w:p>
    <w:p>
      <w:r>
        <w:rPr>
          <w:b w:val="0"/>
        </w:rPr>
        <w:t>I can explain two pieces of my own work. I can respond to a question or feedback. I can agree a next step and bank checked work.</w:t>
      </w:r>
    </w:p>
    <w:p>
      <w:r>
        <w:rPr>
          <w:b w:val="0"/>
        </w:rPr>
        <w:t>VOC-W7-L2-E1: Individual portfolio review with two traceable evidence references, a genuine audience question and learner reply, final evidence checklist, next-step statement and actual banking status.</w:t>
      </w:r>
    </w:p>
    <w:p>
      <w:pPr>
        <w:pStyle w:val="Heading1"/>
      </w:pPr>
      <w:r>
        <w:rPr>
          <w:b w:val="0"/>
        </w:rPr>
        <w:t>Before pupils arrive</w:t>
      </w:r>
    </w:p>
    <w:p>
      <w:r>
        <w:rPr>
          <w:b w:val="0"/>
        </w:rPr>
        <w:t>Bring the Lesson 1 index and two authentic records selected by each learner. Agree a quiet adult audience and the learner’s preferred mode. Have approved evidence storage available to staff. No external assessor, employer, visitor or placement is assumed.</w:t>
      </w:r>
    </w:p>
    <w:p>
      <w:r>
        <w:rPr>
          <w:b w:val="0"/>
        </w:rPr>
        <w:t>Offer processing time, a quiet start and the usual communication support. Capture each learner’s own work. Read the Staff Answers before teaching.</w:t>
      </w:r>
    </w:p>
    <w:p>
      <w:pPr>
        <w:pStyle w:val="Heading1"/>
      </w:pPr>
      <w:r>
        <w:rPr>
          <w:b w:val="0"/>
        </w:rPr>
        <w:t>Calendar and continuity</w:t>
      </w:r>
    </w:p>
    <w:p>
      <w:r>
        <w:rPr>
          <w:b w:val="0"/>
        </w:rPr>
        <w:t>Monday 14–Friday 18 December 2026. Two 40-minute lessons this week. No teaching day or clock slot is inferred. Any visitor, placement or external audience is unconfirmed; the in-class route is ready to use.</w:t>
      </w:r>
    </w:p>
    <w:p>
      <w:r>
        <w:rPr>
          <w:b w:val="0"/>
        </w:rPr>
        <w:t>Staff enter the actual teaching date above. Continue the accepted prior-week evidence and support routines.</w:t>
      </w:r>
    </w:p>
    <w:p>
      <w:r>
        <w:br w:type="page"/>
      </w:r>
    </w:p>
    <w:p>
      <w:pPr>
        <w:pStyle w:val="Heading1"/>
      </w:pPr>
      <w:r>
        <w:rPr>
          <w:b w:val="0"/>
        </w:rPr>
        <w:t>Forty minute sequence</w:t>
      </w:r>
    </w:p>
    <w:tbl>
      <w:tblPr>
        <w:tblStyle w:val="TableGrid"/>
        <w:tblW w:type="auto" w:w="0"/>
        <w:tblLayout w:type="fixed"/>
        <w:tblLook w:firstColumn="1" w:firstRow="1" w:lastColumn="0" w:lastRow="0" w:noHBand="0" w:noVBand="1" w:val="04A0"/>
      </w:tblPr>
      <w:tblGrid>
        <w:gridCol w:w="936"/>
        <w:gridCol w:w="648"/>
        <w:gridCol w:w="8352"/>
      </w:tblGrid>
      <w:tr>
        <w:trPr>
          <w:tblHeader/>
          <w:cantSplit/>
        </w:trPr>
        <w:tc>
          <w:tcPr>
            <w:tcW w:type="dxa" w:w="936"/>
          </w:tcPr>
          <w:p>
            <w:pPr>
              <w:spacing w:after="80" w:before="60"/>
            </w:pPr>
            <w:r>
              <w:rPr>
                <w:b/>
                <w:sz w:val="20"/>
              </w:rPr>
              <w:t>Slide</w:t>
            </w:r>
          </w:p>
        </w:tc>
        <w:tc>
          <w:tcPr>
            <w:tcW w:type="dxa" w:w="648"/>
          </w:tcPr>
          <w:p>
            <w:pPr>
              <w:spacing w:after="80" w:before="60"/>
            </w:pPr>
            <w:r>
              <w:rPr>
                <w:b/>
                <w:sz w:val="20"/>
              </w:rPr>
              <w:t>Min</w:t>
            </w:r>
          </w:p>
        </w:tc>
        <w:tc>
          <w:tcPr>
            <w:tcW w:type="dxa" w:w="8352"/>
          </w:tcPr>
          <w:p>
            <w:pPr>
              <w:spacing w:after="80" w:before="60"/>
            </w:pPr>
            <w:r>
              <w:rPr>
                <w:b/>
                <w:sz w:val="20"/>
              </w:rPr>
              <w:t>Action</w:t>
            </w:r>
          </w:p>
        </w:tc>
      </w:tr>
      <w:tr>
        <w:trPr>
          <w:cantSplit/>
        </w:trPr>
        <w:tc>
          <w:tcPr>
            <w:tcW w:type="dxa" w:w="936"/>
          </w:tcPr>
          <w:p>
            <w:pPr>
              <w:spacing w:after="80" w:before="60"/>
            </w:pPr>
            <w:r>
              <w:rPr>
                <w:b w:val="0"/>
                <w:sz w:val="20"/>
              </w:rPr>
              <w:t>1</w:t>
            </w:r>
          </w:p>
        </w:tc>
        <w:tc>
          <w:tcPr>
            <w:tcW w:type="dxa" w:w="648"/>
          </w:tcPr>
          <w:p>
            <w:pPr>
              <w:spacing w:after="80" w:before="60"/>
            </w:pPr>
            <w:r>
              <w:rPr>
                <w:b w:val="0"/>
                <w:sz w:val="20"/>
              </w:rPr>
              <w:t>0</w:t>
            </w:r>
          </w:p>
        </w:tc>
        <w:tc>
          <w:tcPr>
            <w:tcW w:type="dxa" w:w="8352"/>
          </w:tcPr>
          <w:p>
            <w:pPr>
              <w:spacing w:after="80" w:before="60"/>
            </w:pPr>
            <w:r>
              <w:rPr>
                <w:b w:val="0"/>
                <w:sz w:val="20"/>
              </w:rPr>
              <w:t>Open title and big question before timing.</w:t>
            </w:r>
          </w:p>
        </w:tc>
      </w:tr>
      <w:tr>
        <w:trPr>
          <w:cantSplit/>
        </w:trPr>
        <w:tc>
          <w:tcPr>
            <w:tcW w:type="dxa" w:w="936"/>
          </w:tcPr>
          <w:p>
            <w:pPr>
              <w:spacing w:after="80" w:before="60"/>
            </w:pPr>
            <w:r>
              <w:rPr>
                <w:b w:val="0"/>
                <w:sz w:val="20"/>
              </w:rPr>
              <w:t>2</w:t>
            </w:r>
          </w:p>
        </w:tc>
        <w:tc>
          <w:tcPr>
            <w:tcW w:type="dxa" w:w="648"/>
          </w:tcPr>
          <w:p>
            <w:pPr>
              <w:spacing w:after="80" w:before="60"/>
            </w:pPr>
            <w:r>
              <w:rPr>
                <w:b w:val="0"/>
                <w:sz w:val="20"/>
              </w:rPr>
              <w:t>4</w:t>
            </w:r>
          </w:p>
        </w:tc>
        <w:tc>
          <w:tcPr>
            <w:tcW w:type="dxa" w:w="8352"/>
          </w:tcPr>
          <w:p>
            <w:pPr>
              <w:spacing w:after="80" w:before="60"/>
            </w:pPr>
            <w:r>
              <w:rPr>
                <w:b w:val="0"/>
                <w:sz w:val="20"/>
              </w:rPr>
              <w:t>Private check-in, quiet start and support choice.</w:t>
            </w:r>
          </w:p>
        </w:tc>
      </w:tr>
      <w:tr>
        <w:trPr>
          <w:cantSplit/>
        </w:trPr>
        <w:tc>
          <w:tcPr>
            <w:tcW w:type="dxa" w:w="936"/>
          </w:tcPr>
          <w:p>
            <w:pPr>
              <w:spacing w:after="80" w:before="60"/>
            </w:pPr>
            <w:r>
              <w:rPr>
                <w:b w:val="0"/>
                <w:sz w:val="20"/>
              </w:rPr>
              <w:t>3</w:t>
            </w:r>
          </w:p>
        </w:tc>
        <w:tc>
          <w:tcPr>
            <w:tcW w:type="dxa" w:w="648"/>
          </w:tcPr>
          <w:p>
            <w:pPr>
              <w:spacing w:after="80" w:before="60"/>
            </w:pPr>
            <w:r>
              <w:rPr>
                <w:b w:val="0"/>
                <w:sz w:val="20"/>
              </w:rPr>
              <w:t>2</w:t>
            </w:r>
          </w:p>
        </w:tc>
        <w:tc>
          <w:tcPr>
            <w:tcW w:type="dxa" w:w="8352"/>
          </w:tcPr>
          <w:p>
            <w:pPr>
              <w:spacing w:after="80" w:before="60"/>
            </w:pPr>
            <w:r>
              <w:rPr>
                <w:b w:val="0"/>
                <w:sz w:val="20"/>
              </w:rPr>
              <w:t>View the practice picture; hear one clue or question.</w:t>
            </w:r>
          </w:p>
        </w:tc>
      </w:tr>
      <w:tr>
        <w:trPr>
          <w:cantSplit/>
        </w:trPr>
        <w:tc>
          <w:tcPr>
            <w:tcW w:type="dxa" w:w="936"/>
          </w:tcPr>
          <w:p>
            <w:pPr>
              <w:spacing w:after="80" w:before="60"/>
            </w:pPr>
            <w:r>
              <w:rPr>
                <w:b w:val="0"/>
                <w:sz w:val="20"/>
              </w:rPr>
              <w:t>4</w:t>
            </w:r>
          </w:p>
        </w:tc>
        <w:tc>
          <w:tcPr>
            <w:tcW w:type="dxa" w:w="648"/>
          </w:tcPr>
          <w:p>
            <w:pPr>
              <w:spacing w:after="80" w:before="60"/>
            </w:pPr>
            <w:r>
              <w:rPr>
                <w:b w:val="0"/>
                <w:sz w:val="20"/>
              </w:rPr>
              <w:t>0</w:t>
            </w:r>
          </w:p>
        </w:tc>
        <w:tc>
          <w:tcPr>
            <w:tcW w:type="dxa" w:w="8352"/>
          </w:tcPr>
          <w:p>
            <w:pPr>
              <w:spacing w:after="80" w:before="60"/>
            </w:pPr>
            <w:r>
              <w:rPr>
                <w:b w:val="0"/>
                <w:sz w:val="20"/>
              </w:rPr>
              <w:t>Read the exact objective and success checks.</w:t>
            </w:r>
          </w:p>
        </w:tc>
      </w:tr>
      <w:tr>
        <w:trPr>
          <w:cantSplit/>
        </w:trPr>
        <w:tc>
          <w:tcPr>
            <w:tcW w:type="dxa" w:w="936"/>
          </w:tcPr>
          <w:p>
            <w:pPr>
              <w:spacing w:after="80" w:before="60"/>
            </w:pPr>
            <w:r>
              <w:rPr>
                <w:b w:val="0"/>
                <w:sz w:val="20"/>
              </w:rPr>
              <w:t>5</w:t>
            </w:r>
          </w:p>
        </w:tc>
        <w:tc>
          <w:tcPr>
            <w:tcW w:type="dxa" w:w="648"/>
          </w:tcPr>
          <w:p>
            <w:pPr>
              <w:spacing w:after="80" w:before="60"/>
            </w:pPr>
            <w:r>
              <w:rPr>
                <w:b w:val="0"/>
                <w:sz w:val="20"/>
              </w:rPr>
              <w:t>5</w:t>
            </w:r>
          </w:p>
        </w:tc>
        <w:tc>
          <w:tcPr>
            <w:tcW w:type="dxa" w:w="8352"/>
          </w:tcPr>
          <w:p>
            <w:pPr>
              <w:spacing w:after="80" w:before="60"/>
            </w:pPr>
            <w:r>
              <w:rPr>
                <w:b w:val="0"/>
                <w:sz w:val="20"/>
              </w:rPr>
              <w:t>Model the six lines; explain the reason for each.</w:t>
            </w:r>
          </w:p>
        </w:tc>
      </w:tr>
      <w:tr>
        <w:trPr>
          <w:cantSplit/>
        </w:trPr>
        <w:tc>
          <w:tcPr>
            <w:tcW w:type="dxa" w:w="936"/>
          </w:tcPr>
          <w:p>
            <w:pPr>
              <w:spacing w:after="80" w:before="60"/>
            </w:pPr>
            <w:r>
              <w:rPr>
                <w:b w:val="0"/>
                <w:sz w:val="20"/>
              </w:rPr>
              <w:t>6</w:t>
            </w:r>
          </w:p>
        </w:tc>
        <w:tc>
          <w:tcPr>
            <w:tcW w:type="dxa" w:w="648"/>
          </w:tcPr>
          <w:p>
            <w:pPr>
              <w:spacing w:after="80" w:before="60"/>
            </w:pPr>
            <w:r>
              <w:rPr>
                <w:b w:val="0"/>
                <w:sz w:val="20"/>
              </w:rPr>
              <w:t>5</w:t>
            </w:r>
          </w:p>
        </w:tc>
        <w:tc>
          <w:tcPr>
            <w:tcW w:type="dxa" w:w="8352"/>
          </w:tcPr>
          <w:p>
            <w:pPr>
              <w:spacing w:after="80" w:before="60"/>
            </w:pPr>
            <w:r>
              <w:rPr>
                <w:b w:val="0"/>
                <w:sz w:val="20"/>
              </w:rPr>
              <w:t>Ask for a hinge answer and reason; reteach if needed.</w:t>
            </w:r>
          </w:p>
        </w:tc>
      </w:tr>
      <w:tr>
        <w:trPr>
          <w:cantSplit/>
        </w:trPr>
        <w:tc>
          <w:tcPr>
            <w:tcW w:type="dxa" w:w="936"/>
          </w:tcPr>
          <w:p>
            <w:pPr>
              <w:spacing w:after="80" w:before="60"/>
            </w:pPr>
            <w:r>
              <w:rPr>
                <w:b w:val="0"/>
                <w:sz w:val="20"/>
              </w:rPr>
              <w:t>7</w:t>
            </w:r>
          </w:p>
        </w:tc>
        <w:tc>
          <w:tcPr>
            <w:tcW w:type="dxa" w:w="648"/>
          </w:tcPr>
          <w:p>
            <w:pPr>
              <w:spacing w:after="80" w:before="60"/>
            </w:pPr>
            <w:r>
              <w:rPr>
                <w:b w:val="0"/>
                <w:sz w:val="20"/>
              </w:rPr>
              <w:t>12</w:t>
            </w:r>
          </w:p>
        </w:tc>
        <w:tc>
          <w:tcPr>
            <w:tcW w:type="dxa" w:w="8352"/>
          </w:tcPr>
          <w:p>
            <w:pPr>
              <w:spacing w:after="80" w:before="60"/>
            </w:pPr>
            <w:r>
              <w:rPr>
                <w:b w:val="0"/>
                <w:sz w:val="20"/>
              </w:rPr>
              <w:t>Use the six cards and the Supported/Independent/Aspire routes.</w:t>
            </w:r>
          </w:p>
        </w:tc>
      </w:tr>
      <w:tr>
        <w:trPr>
          <w:cantSplit/>
        </w:trPr>
        <w:tc>
          <w:tcPr>
            <w:tcW w:type="dxa" w:w="936"/>
          </w:tcPr>
          <w:p>
            <w:pPr>
              <w:spacing w:after="80" w:before="60"/>
            </w:pPr>
            <w:r>
              <w:rPr>
                <w:b w:val="0"/>
                <w:sz w:val="20"/>
              </w:rPr>
              <w:t>8</w:t>
            </w:r>
          </w:p>
        </w:tc>
        <w:tc>
          <w:tcPr>
            <w:tcW w:type="dxa" w:w="648"/>
          </w:tcPr>
          <w:p>
            <w:pPr>
              <w:spacing w:after="80" w:before="60"/>
            </w:pPr>
            <w:r>
              <w:rPr>
                <w:b w:val="0"/>
                <w:sz w:val="20"/>
              </w:rPr>
              <w:t>6</w:t>
            </w:r>
          </w:p>
        </w:tc>
        <w:tc>
          <w:tcPr>
            <w:tcW w:type="dxa" w:w="8352"/>
          </w:tcPr>
          <w:p>
            <w:pPr>
              <w:spacing w:after="80" w:before="60"/>
            </w:pPr>
            <w:r>
              <w:rPr>
                <w:b w:val="0"/>
                <w:sz w:val="20"/>
              </w:rPr>
              <w:t>Complete the individual two-page evidence record.</w:t>
            </w:r>
          </w:p>
        </w:tc>
      </w:tr>
      <w:tr>
        <w:trPr>
          <w:cantSplit/>
        </w:trPr>
        <w:tc>
          <w:tcPr>
            <w:tcW w:type="dxa" w:w="936"/>
          </w:tcPr>
          <w:p>
            <w:pPr>
              <w:spacing w:after="80" w:before="60"/>
            </w:pPr>
            <w:r>
              <w:rPr>
                <w:b w:val="0"/>
                <w:sz w:val="20"/>
              </w:rPr>
              <w:t>9</w:t>
            </w:r>
          </w:p>
        </w:tc>
        <w:tc>
          <w:tcPr>
            <w:tcW w:type="dxa" w:w="648"/>
          </w:tcPr>
          <w:p>
            <w:pPr>
              <w:spacing w:after="80" w:before="60"/>
            </w:pPr>
            <w:r>
              <w:rPr>
                <w:b w:val="0"/>
                <w:sz w:val="20"/>
              </w:rPr>
              <w:t>4</w:t>
            </w:r>
          </w:p>
        </w:tc>
        <w:tc>
          <w:tcPr>
            <w:tcW w:type="dxa" w:w="8352"/>
          </w:tcPr>
          <w:p>
            <w:pPr>
              <w:spacing w:after="80" w:before="60"/>
            </w:pPr>
            <w:r>
              <w:rPr>
                <w:b w:val="0"/>
                <w:sz w:val="20"/>
              </w:rPr>
              <w:t>Check ownership, support, response and next step.</w:t>
            </w:r>
          </w:p>
        </w:tc>
      </w:tr>
      <w:tr>
        <w:trPr>
          <w:cantSplit/>
        </w:trPr>
        <w:tc>
          <w:tcPr>
            <w:tcW w:type="dxa" w:w="936"/>
          </w:tcPr>
          <w:p>
            <w:pPr>
              <w:spacing w:after="80" w:before="60"/>
            </w:pPr>
            <w:r>
              <w:rPr>
                <w:b w:val="0"/>
                <w:sz w:val="20"/>
              </w:rPr>
              <w:t>10</w:t>
            </w:r>
          </w:p>
        </w:tc>
        <w:tc>
          <w:tcPr>
            <w:tcW w:type="dxa" w:w="648"/>
          </w:tcPr>
          <w:p>
            <w:pPr>
              <w:spacing w:after="80" w:before="60"/>
            </w:pPr>
            <w:r>
              <w:rPr>
                <w:b w:val="0"/>
                <w:sz w:val="20"/>
              </w:rPr>
              <w:t>2</w:t>
            </w:r>
          </w:p>
        </w:tc>
        <w:tc>
          <w:tcPr>
            <w:tcW w:type="dxa" w:w="8352"/>
          </w:tcPr>
          <w:p>
            <w:pPr>
              <w:spacing w:after="80" w:before="60"/>
            </w:pPr>
            <w:r>
              <w:rPr>
                <w:b w:val="0"/>
                <w:sz w:val="20"/>
              </w:rPr>
              <w:t>Take a short quiet exit response.</w:t>
            </w:r>
          </w:p>
        </w:tc>
      </w:tr>
      <w:tr>
        <w:trPr>
          <w:cantSplit/>
        </w:trPr>
        <w:tc>
          <w:tcPr>
            <w:tcW w:type="dxa" w:w="936"/>
          </w:tcPr>
          <w:p>
            <w:pPr>
              <w:spacing w:after="80" w:before="60"/>
            </w:pPr>
            <w:r>
              <w:rPr>
                <w:b w:val="0"/>
                <w:sz w:val="20"/>
              </w:rPr>
              <w:t>11</w:t>
            </w:r>
          </w:p>
        </w:tc>
        <w:tc>
          <w:tcPr>
            <w:tcW w:type="dxa" w:w="648"/>
          </w:tcPr>
          <w:p>
            <w:pPr>
              <w:spacing w:after="80" w:before="60"/>
            </w:pPr>
            <w:r>
              <w:rPr>
                <w:b w:val="0"/>
                <w:sz w:val="20"/>
              </w:rPr>
              <w:t>0</w:t>
            </w:r>
          </w:p>
        </w:tc>
        <w:tc>
          <w:tcPr>
            <w:tcW w:type="dxa" w:w="8352"/>
          </w:tcPr>
          <w:p>
            <w:pPr>
              <w:spacing w:after="80" w:before="60"/>
            </w:pPr>
            <w:r>
              <w:rPr>
                <w:b w:val="0"/>
                <w:sz w:val="20"/>
              </w:rPr>
              <w:t>Use the vocabulary mat throughout.</w:t>
            </w:r>
          </w:p>
        </w:tc>
      </w:tr>
      <w:tr>
        <w:trPr>
          <w:cantSplit/>
        </w:trPr>
        <w:tc>
          <w:tcPr>
            <w:tcW w:type="dxa" w:w="936"/>
          </w:tcPr>
          <w:p>
            <w:pPr>
              <w:spacing w:after="80" w:before="60"/>
            </w:pPr>
            <w:r>
              <w:rPr>
                <w:b w:val="0"/>
                <w:sz w:val="20"/>
              </w:rPr>
              <w:t>12</w:t>
            </w:r>
          </w:p>
        </w:tc>
        <w:tc>
          <w:tcPr>
            <w:tcW w:type="dxa" w:w="648"/>
          </w:tcPr>
          <w:p>
            <w:pPr>
              <w:spacing w:after="80" w:before="60"/>
            </w:pPr>
            <w:r>
              <w:rPr>
                <w:b w:val="0"/>
                <w:sz w:val="20"/>
              </w:rPr>
              <w:t>0</w:t>
            </w:r>
          </w:p>
        </w:tc>
        <w:tc>
          <w:tcPr>
            <w:tcW w:type="dxa" w:w="8352"/>
          </w:tcPr>
          <w:p>
            <w:pPr>
              <w:spacing w:after="80" w:before="60"/>
            </w:pPr>
            <w:r>
              <w:rPr>
                <w:b w:val="0"/>
                <w:sz w:val="20"/>
              </w:rPr>
              <w:t>Hidden reference for adults.</w:t>
            </w:r>
          </w:p>
        </w:tc>
      </w:tr>
    </w:tbl>
    <w:p>
      <w:pPr>
        <w:pStyle w:val="Heading1"/>
      </w:pPr>
      <w:r>
        <w:rPr>
          <w:b w:val="0"/>
        </w:rPr>
        <w:t>Hinge and reteach</w:t>
      </w:r>
    </w:p>
    <w:p>
      <w:r>
        <w:rPr>
          <w:b w:val="0"/>
        </w:rPr>
        <w:t>B. A final review can bank verified items while leaving an honest gap and future action. The evidence must remain the learner’s. Reteach by separating “checked and banked”, “needs checking” and “missing” with a sample folder. No award completion follows automatically.</w:t>
      </w:r>
    </w:p>
    <w:p>
      <w:pPr>
        <w:pStyle w:val="Heading1"/>
      </w:pPr>
      <w:r>
        <w:rPr>
          <w:b w:val="0"/>
        </w:rPr>
        <w:t>Access and practice</w:t>
      </w:r>
    </w:p>
    <w:p>
      <w:r>
        <w:rPr>
          <w:b w:val="0"/>
        </w:rPr>
        <w:t>Supported: point and use a sentence frame. Independent: explain skill, evidence and help. Aspire: compare progress and a remaining limit.</w:t>
      </w:r>
    </w:p>
    <w:p>
      <w:r>
        <w:rPr>
          <w:b w:val="0"/>
        </w:rPr>
        <w:t>The learner explains two records with task, skill, action and support. An adult asks one genuine question, then records the learner’s own reply. Use NS+ feedback and a response in the learner’s own colour before R. Staff bank only verified items, record actual storage/status, and leave remaining gaps with a next-step statement.</w:t>
      </w:r>
    </w:p>
    <w:p>
      <w:r>
        <w:rPr>
          <w:b w:val="0"/>
        </w:rPr>
        <w:t>Begin evidence during practice and finish during capture. Accept speech, pointing, drawing, writing or usual AAC. Scribe exact words without supplying the assessed reason. No forced pair work or public performance.</w:t>
      </w:r>
    </w:p>
    <w:p>
      <w:r>
        <w:br w:type="page"/>
      </w:r>
    </w:p>
    <w:p>
      <w:pPr>
        <w:pStyle w:val="Heading1"/>
      </w:pPr>
      <w:r>
        <w:rPr>
          <w:b w:val="0"/>
        </w:rPr>
        <w:t>Safe teaching evidence and learner voice</w:t>
      </w:r>
    </w:p>
    <w:p>
      <w:pPr>
        <w:pStyle w:val="Heading1"/>
      </w:pPr>
      <w:r>
        <w:rPr>
          <w:b w:val="0"/>
        </w:rPr>
        <w:t>Boundaries</w:t>
      </w:r>
    </w:p>
    <w:p>
      <w:r>
        <w:rPr>
          <w:b w:val="0"/>
        </w:rPr>
        <w:t>A quiet one-to-one review, writing, pointing or AAC is acceptable. No public presentation or personal disclosure is required. Keep private records in approved staff storage. Do not invent audience feedback, dates or completion.</w:t>
      </w:r>
    </w:p>
    <w:p>
      <w:pPr>
        <w:pStyle w:val="Heading1"/>
      </w:pPr>
      <w:r>
        <w:rPr>
          <w:b w:val="0"/>
        </w:rPr>
        <w:t>Unconfirmed slot and in class alternative</w:t>
      </w:r>
    </w:p>
    <w:p>
      <w:r>
        <w:rPr>
          <w:b w:val="0"/>
        </w:rPr>
        <w:t>Unconfirmed. No booking, invitation, placement or event date is asserted. Use the familiar adult as the review audience and available in-class evidence. Record any missing external encounter as missing; do not write a fictional visitor response.</w:t>
      </w:r>
    </w:p>
    <w:p>
      <w:pPr>
        <w:pStyle w:val="Heading1"/>
      </w:pPr>
      <w:r>
        <w:rPr>
          <w:b w:val="0"/>
        </w:rPr>
        <w:t>Assessment and feedback</w:t>
      </w:r>
    </w:p>
    <w:p>
      <w:r>
        <w:rPr>
          <w:b w:val="0"/>
        </w:rPr>
        <w:t>Two records are traceable to this learner and are described accurately. The real audience question and learner response are retained. The next step is specific and includes support. E is used only for evidence actually stored. An unresolved gap stays explicit; this lesson does not certify an award or registration.</w:t>
      </w:r>
    </w:p>
    <w:p>
      <w:r>
        <w:rPr>
          <w:b w:val="0"/>
        </w:rPr>
        <w:t>Retain actual work, response mode and support. Use VF · WS · I · NS+ (Yellow Box) · // (self-edit) · ? (read back) · R (responded) · E (evidence banked). R requires Voice, Audience, an NS+ prompt and the learner’s response in their own colour. Record E only after evidence is banked. Blank forms and adult models are not completed learner evidence.</w:t>
      </w:r>
    </w:p>
    <w:p>
      <w:pPr>
        <w:pStyle w:val="Heading1"/>
      </w:pPr>
      <w:r>
        <w:rPr>
          <w:b w:val="0"/>
        </w:rPr>
        <w:t>Lundy moments</w:t>
      </w:r>
    </w:p>
    <w:p>
      <w:r>
        <w:rPr>
          <w:b w:val="0"/>
        </w:rPr>
        <w:t>Space: calm, accessible participation. Voice: a choice, reason or help request. Audience: the adult listens or reads and replies. Influence: record the support or next-step change made in response.</w:t>
      </w:r>
    </w:p>
    <w:p>
      <w:pPr>
        <w:pStyle w:val="Heading1"/>
      </w:pPr>
      <w:r>
        <w:rPr>
          <w:b w:val="0"/>
        </w:rPr>
        <w:t>Offer to the Communication portfolio</w:t>
      </w:r>
    </w:p>
    <w:p>
      <w:r>
        <w:rPr>
          <w:b w:val="0"/>
        </w:rPr>
        <w:t>Explain a choice, listen to feedback and write or dictate a reflection. The receiving teacher maps authentic responses to their own Communication portfolio; no criteria are assigned here.</w:t>
      </w:r>
    </w:p>
    <w:p>
      <w:pPr>
        <w:pStyle w:val="Heading1"/>
      </w:pPr>
      <w:r>
        <w:rPr>
          <w:b w:val="0"/>
        </w:rPr>
        <w:t>Reflection and provenance</w:t>
      </w:r>
    </w:p>
    <w:p>
      <w:r>
        <w:rPr>
          <w:b w:val="0"/>
        </w:rPr>
        <w:t>Next teaching need: __________________________________________________</w:t>
        <w:br/>
        <w:t>Learner request and change made: _______________________________________</w:t>
      </w:r>
    </w:p>
    <w:p>
      <w:r>
        <w:rPr>
          <w:b w:val="0"/>
        </w:rPr>
        <w:t>Sources: the lane1/main index omits this vocational block. Its revision is 840cc945; workbook revision 9ed44bdf, cells above, checked against main by blob/hash. Calendar: owner order. Practice examples are authored. Starter pictures are generated illustrations. Source URLs and limits: FACTS_LEDGER.md. No registration or award criteria are inferred.</w:t>
      </w:r>
    </w:p>
    <w:sectPr w:rsidR="00FC693F" w:rsidRPr="0006063C" w:rsidSect="00034616">
      <w:headerReference w:type="default" r:id="rId9"/>
      <w:footerReference w:type="default" r:id="rId10"/>
      <w:pgSz w:w="11909" w:h="16834"/>
      <w:pgMar w:top="792" w:right="893" w:bottom="792" w:left="893" w:header="346"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4"/>
      </w:rPr>
      <w:t>Made by Matt · © Matt Roper · CC BY-NC-SA 4.0: free for classroom use, share and adapt with credit, no resale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VOC-LAUNCH-A2-W07-L2 · Public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2" w:lineRule="auto"/>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line="252"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2" w:lineRule="auto"/>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2" w:lineRule="auto"/>
    </w:pPr>
    <w:rPr>
      <w:rFonts w:ascii="Arial" w:hAnsi="Arial"/>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Teacher and cover planner</dc:title>
  <dc:subject>VOC-LAUNCH-A2-W07-L2</dc:subject>
  <dc:creator/>
  <cp:keywords/>
  <dc:description/>
  <cp:lastModifiedBy/>
  <cp:revision>1</cp:revision>
  <dcterms:created xsi:type="dcterms:W3CDTF">2026-10-24T00:00:00Z</dcterms:created>
  <dcterms:modified xsi:type="dcterms:W3CDTF">2026-10-24T00:00:00Z</dcterms:modified>
  <cp:category/>
</cp:coreProperties>
</file>