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Light Across the Map</w:t>
      </w:r>
    </w:p>
    <w:p>
      <w:pPr>
        <w:pStyle w:val="Subtitle"/>
      </w:pPr>
      <w:r>
        <w:t>GROW · Humanities · 40 minutes</w:t>
      </w:r>
    </w:p>
    <w:p>
      <w:r>
        <w:t>I can map festival examples, extract meaning/practice from faith-community sources and explain variation.</w:t>
      </w:r>
    </w:p>
    <w:p>
      <w:r>
        <w:t>Name: __________________________    Date: ______________</w:t>
      </w:r>
    </w:p>
    <w:p>
      <w:r>
        <w:t>You may write, type, say, sign, point or direct a partner. An adult can read the words and record your exact response. Keep the choice and explanation your own.</w:t>
      </w:r>
    </w:p>
    <w:p>
      <w:pPr>
        <w:pStyle w:val="Heading2"/>
      </w:pPr>
      <w:r>
        <w:t>We do · make a choice and give a reason</w:t>
      </w:r>
    </w:p>
    <w:p>
      <w:pPr/>
      <w:r>
        <w:t>A BAPS page describes diyas, rangoli, worship and gathering. Which conclusion is defensible?</w:t>
      </w:r>
    </w:p>
    <w:p>
      <w:pPr>
        <w:pStyle w:val="ListBullet"/>
      </w:pPr>
      <w:r>
        <w:t>This BAPS source gives examples from one Hindu tradition; practices and meanings can vary.</w:t>
      </w:r>
    </w:p>
    <w:p>
      <w:pPr>
        <w:pStyle w:val="ListBullet"/>
      </w:pPr>
      <w:r>
        <w:t>Every Hindu person celebrates Diwali in exactly this way.</w:t>
      </w:r>
    </w:p>
    <w:p>
      <w:pPr>
        <w:pStyle w:val="ListBullet"/>
      </w:pPr>
      <w:r>
        <w:t>Diwali is only celebrated inside India.</w:t>
      </w:r>
    </w:p>
    <w:p>
      <w:pPr>
        <w:keepNext/>
      </w:pPr>
      <w:r>
        <w:t>My choice and the evidence I used:</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p>
      <w:pPr>
        <w:pStyle w:val="Heading1"/>
        <w:pageBreakBefore/>
      </w:pPr>
      <w:r>
        <w:t>Resources and independent record</w:t>
      </w:r>
    </w:p>
    <w:p>
      <w:pPr>
        <w:pStyle w:val="Heading2"/>
      </w:pPr>
      <w:r>
        <w:t>GROW Humanities · Week 11</w:t>
      </w:r>
    </w:p>
    <w:p>
      <w:pPr/>
      <w:r>
        <w:t>40 minutes Autumn 2 · Week 4 · GROW Weekly – Autumn B56:C56 Name: ____________________ Date: __________</w:t>
      </w:r>
    </w:p>
    <w:p>
      <w:pPr/>
      <w:r>
        <w:t>Enquiry</w:t>
      </w:r>
    </w:p>
    <w:p>
      <w:pPr/>
      <w:r>
        <w:t>How do place, movement and community shape where a festival is celebrated—without making faith equal nationality?</w:t>
      </w:r>
    </w:p>
    <w:p>
      <w:pPr/>
      <w:r>
        <w:t>Independent mission</w:t>
      </w:r>
    </w:p>
    <w:p>
      <w:pPr/>
      <w:r>
        <w:t>Create a three-case festival geography board. For each case: plot one example location or global-reach statement, record meaning/practice from the named source, and add a variation/limitation label. No personal faith disclosure is required.</w:t>
      </w:r>
    </w:p>
    <w:p>
      <w:pPr/>
      <w:r>
        <w:t>Supported route</w:t>
      </w:r>
    </w:p>
    <w:p>
      <w:pPr/>
      <w:r>
        <w:t>Complete two case cards using provided phrases; plot two examples; add ‘This source cannot represent ___.’</w:t>
      </w:r>
    </w:p>
    <w:p>
      <w:pPr/>
      <w:r>
        <w:t>Prompt frame: Source ____ shows that some ____ communities ____. One example place is ____. This does not mean ____.</w:t>
      </w:r>
    </w:p>
    <w:p>
      <w:pPr/>
      <w:r>
        <w:t>Standard route</w:t>
      </w:r>
    </w:p>
    <w:p>
      <w:pPr/>
      <w:r>
        <w:t>Complete three sourced case cards with location/reach, meaning, practice and one respectful qualification each.</w:t>
      </w:r>
    </w:p>
    <w:p>
      <w:pPr/>
      <w:r>
        <w:t>Method: Example location/reach → creator → meaning → practice → variation/limitation.</w:t>
      </w:r>
    </w:p>
    <w:p>
      <w:pPr/>
      <w:r>
        <w:t>Stretch route</w:t>
      </w:r>
    </w:p>
    <w:p>
      <w:pPr/>
      <w:r>
        <w:t>Compare how source perspective and map scale alter the story; repair one misleading ‘faith = country’ claim.</w:t>
      </w:r>
    </w:p>
    <w:p>
      <w:pPr/>
      <w:r>
        <w:t>Method: Map selection + source perspective → misleading inference → evidence-led repair.</w:t>
      </w:r>
    </w:p>
    <w:p>
      <w:pPr>
        <w:pStyle w:val="Heading2"/>
      </w:pPr>
      <w:r>
        <w:t>Pupil evidence sheet</w:t>
      </w:r>
    </w:p>
    <w:p>
      <w:pPr/>
      <w:r>
        <w:t>Investigate festivals of light around the world.</w:t>
      </w:r>
    </w:p>
    <w:p>
      <w:pPr/>
      <w:r>
        <w:t>A · London</w:t>
      </w:r>
    </w:p>
    <w:p>
      <w:pPr/>
      <w:r>
        <w:t>B · Beijing</w:t>
      </w:r>
    </w:p>
    <w:p>
      <w:pPr/>
      <w:r>
        <w:t>C · US cities</w:t>
      </w:r>
    </w:p>
    <w:p>
      <w:pPr/>
      <w:r>
        <w:t>D · Karlsruhe</w:t>
      </w:r>
    </w:p>
    <w:p>
      <w:pPr/>
      <w:r>
        <w:t>E · Pacific</w:t>
      </w:r>
    </w:p>
    <w:p>
      <w:pPr/>
      <w:r>
        <w:t>Constructed locator—not to scale or distribution evidence.</w:t>
      </w:r>
    </w:p>
    <w:p>
      <w:pPr/>
      <w:r>
        <w:t>BAPS-LDN · community event account · adapted factual note: BAPS Shri Swaminarayan Mandir in London says its 12 November 2023 Diwali event brought together thousands from the local community and further afield. It describes hope, light and goodwill, Sharda Pujan, prayers, food, service and community participation. One London Swaminarayan Hindu institution and one year; practice varies.</w:t>
      </w:r>
    </w:p>
    <w:p>
      <w:pPr/>
      <w:r>
        <w:t>WJC · representative-organisation news account · adapted factual note: A 19 December 2006 report documents a Hanukkah candle-lighting in Beijing and mentions menorahs in cities across the United States. An older selected news account is not current distribution data or every community’s practice.</w:t>
      </w:r>
    </w:p>
    <w:p>
      <w:pPr/>
      <w:r>
        <w:t>WCC · ecumenical feature · adapted factual note: A 9 January 2025 feature brings together Christmas messages and examples from places including Karlsruhe in Germany and churches across the Pacific, alongside other regions. Selected member-church examples are not a survey of all Christian communities.</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2466"/>
        <w:gridCol w:w="2466"/>
        <w:gridCol w:w="2466"/>
        <w:gridCol w:w="2466"/>
      </w:tblGrid>
      <w:tr>
        <w:trPr>
          <w:cantSplit/>
          <w:tblHeader/>
        </w:trPr>
        <w:tc>
          <w:tcPr>
            <w:tcW w:type="dxa" w:w="2466"/>
            <w:vAlign w:val="top"/>
            <w:shd w:fill="5B91A5"/>
          </w:tcPr>
          <w:p>
            <w:pPr>
              <w:spacing w:after="60" w:line="269" w:lineRule="auto"/>
            </w:pPr>
            <w:r>
              <w:rPr>
                <w:rFonts w:ascii="Arial" w:hAnsi="Arial"/>
                <w:b/>
                <w:color w:val="FFFFFF"/>
                <w:sz w:val="21"/>
              </w:rPr>
              <w:t>Case/source</w:t>
            </w:r>
          </w:p>
        </w:tc>
        <w:tc>
          <w:tcPr>
            <w:tcW w:type="dxa" w:w="2466"/>
            <w:vAlign w:val="top"/>
            <w:shd w:fill="5B91A5"/>
          </w:tcPr>
          <w:p>
            <w:pPr>
              <w:spacing w:after="60" w:line="269" w:lineRule="auto"/>
            </w:pPr>
            <w:r>
              <w:rPr>
                <w:rFonts w:ascii="Arial" w:hAnsi="Arial"/>
                <w:b/>
                <w:color w:val="FFFFFF"/>
                <w:sz w:val="21"/>
              </w:rPr>
              <w:t>Named place/reach</w:t>
            </w:r>
          </w:p>
        </w:tc>
        <w:tc>
          <w:tcPr>
            <w:tcW w:type="dxa" w:w="2466"/>
            <w:vAlign w:val="top"/>
            <w:shd w:fill="5B91A5"/>
          </w:tcPr>
          <w:p>
            <w:pPr>
              <w:spacing w:after="60" w:line="269" w:lineRule="auto"/>
            </w:pPr>
            <w:r>
              <w:rPr>
                <w:rFonts w:ascii="Arial" w:hAnsi="Arial"/>
                <w:b/>
                <w:color w:val="FFFFFF"/>
                <w:sz w:val="21"/>
              </w:rPr>
              <w:t>Meaning/practice evidence</w:t>
            </w:r>
          </w:p>
        </w:tc>
        <w:tc>
          <w:tcPr>
            <w:tcW w:type="dxa" w:w="2466"/>
            <w:vAlign w:val="top"/>
            <w:shd w:fill="5B91A5"/>
          </w:tcPr>
          <w:p>
            <w:pPr>
              <w:spacing w:after="60" w:line="269" w:lineRule="auto"/>
            </w:pPr>
            <w:r>
              <w:rPr>
                <w:rFonts w:ascii="Arial" w:hAnsi="Arial"/>
                <w:b/>
                <w:color w:val="FFFFFF"/>
                <w:sz w:val="21"/>
              </w:rPr>
              <w:t>Variation/limit</w:t>
            </w:r>
          </w:p>
        </w:tc>
      </w:tr>
      <w:tr>
        <w:trPr>
          <w:cantSplit/>
          <w:trHeight w:val="737"/>
        </w:trPr>
        <w:tc>
          <w:tcPr>
            <w:tcW w:type="dxa" w:w="2466"/>
            <w:vAlign w:val="top"/>
            <w:shd w:fill="FFFFFF"/>
          </w:tcPr>
          <w:p>
            <w:pPr>
              <w:spacing w:after="60" w:line="269" w:lineRule="auto"/>
            </w:pPr>
            <w:r>
              <w:rPr>
                <w:rFonts w:ascii="Arial" w:hAnsi="Arial"/>
                <w:b w:val="0"/>
                <w:color w:val="18233F"/>
                <w:sz w:val="21"/>
              </w:rPr>
              <w:t>BAPS-LDN · Diwali</w:t>
            </w:r>
          </w:p>
        </w:tc>
        <w:tc>
          <w:tcPr>
            <w:tcW w:type="dxa" w:w="2466"/>
            <w:vAlign w:val="top"/>
            <w:shd w:fill="FFFFFF"/>
          </w:tcPr>
          <w:p>
            <w:pPr>
              <w:spacing w:after="60" w:line="269" w:lineRule="auto"/>
            </w:pPr>
            <w:r>
              <w:rPr>
                <w:rFonts w:ascii="Arial" w:hAnsi="Arial"/>
                <w:b w:val="0"/>
                <w:color w:val="18233F"/>
                <w:sz w:val="21"/>
              </w:rPr>
            </w:r>
          </w:p>
        </w:tc>
        <w:tc>
          <w:tcPr>
            <w:tcW w:type="dxa" w:w="2466"/>
            <w:vAlign w:val="top"/>
            <w:shd w:fill="FFFFFF"/>
          </w:tcPr>
          <w:p>
            <w:pPr>
              <w:spacing w:after="60" w:line="269" w:lineRule="auto"/>
            </w:pPr>
            <w:r>
              <w:rPr>
                <w:rFonts w:ascii="Arial" w:hAnsi="Arial"/>
                <w:b w:val="0"/>
                <w:color w:val="18233F"/>
                <w:sz w:val="21"/>
              </w:rPr>
            </w:r>
          </w:p>
        </w:tc>
        <w:tc>
          <w:tcPr>
            <w:tcW w:type="dxa" w:w="2466"/>
            <w:vAlign w:val="top"/>
            <w:shd w:fill="FFFFFF"/>
          </w:tcPr>
          <w:p>
            <w:pPr>
              <w:spacing w:after="60" w:line="269" w:lineRule="auto"/>
            </w:pPr>
            <w:r>
              <w:rPr>
                <w:rFonts w:ascii="Arial" w:hAnsi="Arial"/>
                <w:b w:val="0"/>
                <w:color w:val="18233F"/>
                <w:sz w:val="21"/>
              </w:rPr>
            </w:r>
          </w:p>
        </w:tc>
      </w:tr>
      <w:tr>
        <w:trPr>
          <w:cantSplit/>
          <w:trHeight w:val="737"/>
        </w:trPr>
        <w:tc>
          <w:tcPr>
            <w:tcW w:type="dxa" w:w="2466"/>
            <w:vAlign w:val="top"/>
            <w:shd w:fill="F1F5F6"/>
          </w:tcPr>
          <w:p>
            <w:pPr>
              <w:spacing w:after="60" w:line="269" w:lineRule="auto"/>
            </w:pPr>
            <w:r>
              <w:rPr>
                <w:rFonts w:ascii="Arial" w:hAnsi="Arial"/>
                <w:b w:val="0"/>
                <w:color w:val="18233F"/>
                <w:sz w:val="21"/>
              </w:rPr>
              <w:t>WJC · Hanukkah</w:t>
            </w:r>
          </w:p>
        </w:tc>
        <w:tc>
          <w:tcPr>
            <w:tcW w:type="dxa" w:w="2466"/>
            <w:vAlign w:val="top"/>
            <w:shd w:fill="F1F5F6"/>
          </w:tcPr>
          <w:p>
            <w:pPr>
              <w:spacing w:after="60" w:line="269" w:lineRule="auto"/>
            </w:pPr>
            <w:r>
              <w:rPr>
                <w:rFonts w:ascii="Arial" w:hAnsi="Arial"/>
                <w:b w:val="0"/>
                <w:color w:val="18233F"/>
                <w:sz w:val="21"/>
              </w:rPr>
            </w:r>
          </w:p>
        </w:tc>
        <w:tc>
          <w:tcPr>
            <w:tcW w:type="dxa" w:w="2466"/>
            <w:vAlign w:val="top"/>
            <w:shd w:fill="F1F5F6"/>
          </w:tcPr>
          <w:p>
            <w:pPr>
              <w:spacing w:after="60" w:line="269" w:lineRule="auto"/>
            </w:pPr>
            <w:r>
              <w:rPr>
                <w:rFonts w:ascii="Arial" w:hAnsi="Arial"/>
                <w:b w:val="0"/>
                <w:color w:val="18233F"/>
                <w:sz w:val="21"/>
              </w:rPr>
            </w:r>
          </w:p>
        </w:tc>
        <w:tc>
          <w:tcPr>
            <w:tcW w:type="dxa" w:w="2466"/>
            <w:vAlign w:val="top"/>
            <w:shd w:fill="F1F5F6"/>
          </w:tcPr>
          <w:p>
            <w:pPr>
              <w:spacing w:after="60" w:line="269" w:lineRule="auto"/>
            </w:pPr>
            <w:r>
              <w:rPr>
                <w:rFonts w:ascii="Arial" w:hAnsi="Arial"/>
                <w:b w:val="0"/>
                <w:color w:val="18233F"/>
                <w:sz w:val="21"/>
              </w:rPr>
            </w:r>
          </w:p>
        </w:tc>
      </w:tr>
      <w:tr>
        <w:trPr>
          <w:cantSplit/>
          <w:trHeight w:val="737"/>
        </w:trPr>
        <w:tc>
          <w:tcPr>
            <w:tcW w:type="dxa" w:w="2466"/>
            <w:vAlign w:val="top"/>
            <w:shd w:fill="FFFFFF"/>
          </w:tcPr>
          <w:p>
            <w:pPr>
              <w:spacing w:after="60" w:line="269" w:lineRule="auto"/>
            </w:pPr>
            <w:r>
              <w:rPr>
                <w:rFonts w:ascii="Arial" w:hAnsi="Arial"/>
                <w:b w:val="0"/>
                <w:color w:val="18233F"/>
                <w:sz w:val="21"/>
              </w:rPr>
              <w:t>WCC · Christmas/light symbolism</w:t>
            </w:r>
          </w:p>
        </w:tc>
        <w:tc>
          <w:tcPr>
            <w:tcW w:type="dxa" w:w="2466"/>
            <w:vAlign w:val="top"/>
            <w:shd w:fill="FFFFFF"/>
          </w:tcPr>
          <w:p>
            <w:pPr>
              <w:spacing w:after="60" w:line="269" w:lineRule="auto"/>
            </w:pPr>
            <w:r>
              <w:rPr>
                <w:rFonts w:ascii="Arial" w:hAnsi="Arial"/>
                <w:b w:val="0"/>
                <w:color w:val="18233F"/>
                <w:sz w:val="21"/>
              </w:rPr>
            </w:r>
          </w:p>
        </w:tc>
        <w:tc>
          <w:tcPr>
            <w:tcW w:type="dxa" w:w="2466"/>
            <w:vAlign w:val="top"/>
            <w:shd w:fill="FFFFFF"/>
          </w:tcPr>
          <w:p>
            <w:pPr>
              <w:spacing w:after="60" w:line="269" w:lineRule="auto"/>
            </w:pPr>
            <w:r>
              <w:rPr>
                <w:rFonts w:ascii="Arial" w:hAnsi="Arial"/>
                <w:b w:val="0"/>
                <w:color w:val="18233F"/>
                <w:sz w:val="21"/>
              </w:rPr>
            </w:r>
          </w:p>
        </w:tc>
        <w:tc>
          <w:tcPr>
            <w:tcW w:type="dxa" w:w="2466"/>
            <w:vAlign w:val="top"/>
            <w:shd w:fill="FFFFFF"/>
          </w:tcPr>
          <w:p>
            <w:pPr>
              <w:spacing w:after="60" w:line="269" w:lineRule="auto"/>
            </w:pPr>
            <w:r>
              <w:rPr>
                <w:rFonts w:ascii="Arial" w:hAnsi="Arial"/>
                <w:b w:val="0"/>
                <w:color w:val="18233F"/>
                <w:sz w:val="21"/>
              </w:rPr>
            </w:r>
          </w:p>
        </w:tc>
      </w:tr>
    </w:tbl>
    <w:p>
      <w:pPr>
        <w:spacing w:after="0"/>
      </w:pPr>
    </w:p>
    <w:p>
      <w:pPr>
        <w:pStyle w:val="Heading2"/>
      </w:pPr>
      <w:r>
        <w:t>Evidence, prompt and response record</w:t>
      </w:r>
    </w:p>
    <w:p>
      <w:pPr>
        <w:pStyle w:val="Heading1"/>
        <w:pageBreakBefore/>
      </w:pPr>
      <w:r>
        <w:t>Paper route · discuss the lesson choices</w:t>
      </w:r>
    </w:p>
    <w:p>
      <w:r>
        <w:t>Use these choices with the matching teaching stage. Point to or number a choice, explain it, then revisit it after feedback. The original HTML keeps the live controls.</w:t>
      </w:r>
    </w:p>
    <w:p>
      <w:pPr>
        <w:pStyle w:val="ListBullet"/>
      </w:pPr>
      <w:r>
        <w:t>This source documents one London event where lamps were lit.</w:t>
      </w:r>
    </w:p>
    <w:p>
      <w:pPr>
        <w:pStyle w:val="ListBullet"/>
      </w:pPr>
      <w:r>
        <w:t>All Hindus celebrate Diwali in the same way.</w:t>
      </w:r>
    </w:p>
    <w:p>
      <w:pPr>
        <w:pStyle w:val="ListBullet"/>
      </w:pPr>
      <w:r>
        <w:t>Some communities in more than one country mark a festival of light.</w:t>
      </w:r>
    </w:p>
    <w:p>
      <w:pPr>
        <w:pStyle w:val="ListBullet"/>
      </w:pPr>
      <w:r>
        <w:t>Everyone in that country is religious.</w:t>
      </w:r>
    </w:p>
    <w:p>
      <w:pPr>
        <w:pStyle w:val="ListBullet"/>
      </w:pPr>
      <w:r>
        <w:t>Jewish people always light candles in December.</w:t>
      </w:r>
    </w:p>
    <w:p>
      <w:pPr>
        <w:pStyle w:val="ListBullet"/>
      </w:pPr>
      <w:r>
        <w:t>One example in this pack is a Reform community in Milton Keynes.</w:t>
      </w:r>
    </w:p>
    <w:p>
      <w:pPr>
        <w:pStyle w:val="ListBullet"/>
      </w:pPr>
      <w:r>
        <w:t>safe wording</w:t>
      </w:r>
    </w:p>
    <w:p>
      <w:pPr>
        <w:pStyle w:val="ListBullet"/>
      </w:pPr>
      <w:r>
        <w:t>too big</w:t>
      </w:r>
    </w:p>
    <w:p>
      <w:pPr>
        <w:pStyle w:val="ListBullet"/>
      </w:pPr>
      <w:r>
        <w:t>Diwali</w:t>
      </w:r>
    </w:p>
    <w:p>
      <w:pPr>
        <w:pStyle w:val="ListBullet"/>
      </w:pPr>
      <w:r>
        <w:t>Chanukah</w:t>
      </w:r>
    </w:p>
    <w:p>
      <w:pPr>
        <w:pStyle w:val="ListBullet"/>
      </w:pPr>
      <w:r>
        <w:t>Christmas</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5B91A5"/>
          </w:tcPr>
          <w:p>
            <w:pPr>
              <w:spacing w:after="60" w:line="269" w:lineRule="auto"/>
            </w:pPr>
            <w:r>
              <w:rPr>
                <w:rFonts w:ascii="Arial" w:hAnsi="Arial"/>
                <w:b/>
                <w:color w:val="FFFFFF"/>
                <w:sz w:val="22"/>
              </w:rPr>
              <w:t>Choice / card</w:t>
            </w:r>
          </w:p>
        </w:tc>
        <w:tc>
          <w:tcPr>
            <w:tcW w:type="dxa" w:w="3288"/>
            <w:vAlign w:val="top"/>
            <w:shd w:fill="5B91A5"/>
          </w:tcPr>
          <w:p>
            <w:pPr>
              <w:spacing w:after="60" w:line="269" w:lineRule="auto"/>
            </w:pPr>
            <w:r>
              <w:rPr>
                <w:rFonts w:ascii="Arial" w:hAnsi="Arial"/>
                <w:b/>
                <w:color w:val="FFFFFF"/>
                <w:sz w:val="22"/>
              </w:rPr>
              <w:t>My reason or evidence</w:t>
            </w:r>
          </w:p>
        </w:tc>
        <w:tc>
          <w:tcPr>
            <w:tcW w:type="dxa" w:w="3288"/>
            <w:vAlign w:val="top"/>
            <w:shd w:fill="5B91A5"/>
          </w:tcPr>
          <w:p>
            <w:pPr>
              <w:spacing w:after="60" w:line="269" w:lineRule="auto"/>
            </w:pPr>
            <w:r>
              <w:rPr>
                <w:rFonts w:ascii="Arial" w:hAnsi="Arial"/>
                <w:b/>
                <w:color w:val="FFFFFF"/>
                <w:sz w:val="22"/>
              </w:rPr>
              <w:t>My revision after feedback</w:t>
            </w:r>
          </w:p>
        </w:tc>
      </w:tr>
      <w:tr>
        <w:trPr>
          <w:cantSplit/>
          <w:trHeight w:val="737"/>
        </w:trPr>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r>
      <w:tr>
        <w:trPr>
          <w:cantSplit/>
          <w:trHeight w:val="737"/>
        </w:trPr>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r>
      <w:tr>
        <w:trPr>
          <w:cantSplit/>
          <w:trHeight w:val="737"/>
        </w:trPr>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r>
      <w:tr>
        <w:trPr>
          <w:cantSplit/>
          <w:trHeight w:val="737"/>
        </w:trPr>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r>
    </w:tbl>
    <w:p>
      <w:pPr>
        <w:spacing w:after="0"/>
      </w:pPr>
    </w:p>
    <w:p>
      <w:pPr>
        <w:pStyle w:val="Heading1"/>
        <w:pageBreakBefore/>
      </w:pPr>
      <w:r>
        <w:t>Visual evidence from the lesson</w:t>
      </w:r>
    </w:p>
    <w:p>
      <w:pPr>
        <w:keepNext/>
        <w:jc w:val="center"/>
      </w:pPr>
      <w:r>
        <w:drawing>
          <wp:inline xmlns:a="http://schemas.openxmlformats.org/drawingml/2006/main" xmlns:pic="http://schemas.openxmlformats.org/drawingml/2006/picture">
            <wp:extent cx="5705856" cy="2194560"/>
            <wp:docPr id="1" name="Picture 1"/>
            <wp:cNvGraphicFramePr>
              <a:graphicFrameLocks noChangeAspect="1"/>
            </wp:cNvGraphicFramePr>
            <a:graphic>
              <a:graphicData uri="http://schemas.openxmlformats.org/drawingml/2006/picture">
                <pic:pic>
                  <pic:nvPicPr>
                    <pic:cNvPr id="0" name="51025a81b015d6869223.png"/>
                    <pic:cNvPicPr/>
                  </pic:nvPicPr>
                  <pic:blipFill>
                    <a:blip r:embed="rId11"/>
                    <a:stretch>
                      <a:fillRect/>
                    </a:stretch>
                  </pic:blipFill>
                  <pic:spPr>
                    <a:xfrm>
                      <a:off x="0" y="0"/>
                      <a:ext cx="5705856" cy="2194560"/>
                    </a:xfrm>
                    <a:prstGeom prst="rect"/>
                  </pic:spPr>
                </pic:pic>
              </a:graphicData>
            </a:graphic>
          </wp:inline>
        </w:drawing>
      </w:r>
    </w:p>
    <w:p>
      <w:pPr>
        <w:pStyle w:val="Caption"/>
        <w:keepNext w:val="0"/>
      </w:pPr>
      <w:r>
        <w:t>Schematic world with example pins</w:t>
      </w:r>
    </w:p>
    <w:p>
      <w:pPr>
        <w:keepNext/>
        <w:jc w:val="center"/>
      </w:pPr>
      <w:r>
        <w:drawing>
          <wp:inline xmlns:a="http://schemas.openxmlformats.org/drawingml/2006/main" xmlns:pic="http://schemas.openxmlformats.org/drawingml/2006/picture">
            <wp:extent cx="5705856" cy="2194560"/>
            <wp:docPr id="2" name="Picture 2"/>
            <wp:cNvGraphicFramePr>
              <a:graphicFrameLocks noChangeAspect="1"/>
            </wp:cNvGraphicFramePr>
            <a:graphic>
              <a:graphicData uri="http://schemas.openxmlformats.org/drawingml/2006/picture">
                <pic:pic>
                  <pic:nvPicPr>
                    <pic:cNvPr id="0" name="5d8d24cc978cac9eb815.png"/>
                    <pic:cNvPicPr/>
                  </pic:nvPicPr>
                  <pic:blipFill>
                    <a:blip r:embed="rId12"/>
                    <a:stretch>
                      <a:fillRect/>
                    </a:stretch>
                  </pic:blipFill>
                  <pic:spPr>
                    <a:xfrm>
                      <a:off x="0" y="0"/>
                      <a:ext cx="5705856" cy="2194560"/>
                    </a:xfrm>
                    <a:prstGeom prst="rect"/>
                  </pic:spPr>
                </pic:pic>
              </a:graphicData>
            </a:graphic>
          </wp:inline>
        </w:drawing>
      </w:r>
    </w:p>
    <w:p>
      <w:pPr>
        <w:pStyle w:val="Caption"/>
        <w:keepNext w:val="0"/>
      </w:pPr>
      <w:r>
        <w:t>Source card</w:t>
      </w:r>
    </w:p>
    <w:p>
      <w:pPr>
        <w:keepNext/>
        <w:jc w:val="center"/>
      </w:pPr>
      <w:r>
        <w:drawing>
          <wp:inline xmlns:a="http://schemas.openxmlformats.org/drawingml/2006/main" xmlns:pic="http://schemas.openxmlformats.org/drawingml/2006/picture">
            <wp:extent cx="5705856" cy="2194560"/>
            <wp:docPr id="3" name="Picture 3"/>
            <wp:cNvGraphicFramePr>
              <a:graphicFrameLocks noChangeAspect="1"/>
            </wp:cNvGraphicFramePr>
            <a:graphic>
              <a:graphicData uri="http://schemas.openxmlformats.org/drawingml/2006/picture">
                <pic:pic>
                  <pic:nvPicPr>
                    <pic:cNvPr id="0" name="5ee40bd48664bec1d9ca.png"/>
                    <pic:cNvPicPr/>
                  </pic:nvPicPr>
                  <pic:blipFill>
                    <a:blip r:embed="rId13"/>
                    <a:stretch>
                      <a:fillRect/>
                    </a:stretch>
                  </pic:blipFill>
                  <pic:spPr>
                    <a:xfrm>
                      <a:off x="0" y="0"/>
                      <a:ext cx="5705856" cy="2194560"/>
                    </a:xfrm>
                    <a:prstGeom prst="rect"/>
                  </pic:spPr>
                </pic:pic>
              </a:graphicData>
            </a:graphic>
          </wp:inline>
        </w:drawing>
      </w:r>
    </w:p>
    <w:p>
      <w:pPr>
        <w:pStyle w:val="Caption"/>
        <w:keepNext w:val="0"/>
      </w:pPr>
      <w:r>
        <w:t>Three light symbols</w:t>
      </w:r>
    </w:p>
    <w:p>
      <w:pPr>
        <w:keepNext/>
        <w:jc w:val="center"/>
      </w:pPr>
      <w:r>
        <w:drawing>
          <wp:inline xmlns:a="http://schemas.openxmlformats.org/drawingml/2006/main" xmlns:pic="http://schemas.openxmlformats.org/drawingml/2006/picture">
            <wp:extent cx="5705856" cy="2194560"/>
            <wp:docPr id="4" name="Picture 4"/>
            <wp:cNvGraphicFramePr>
              <a:graphicFrameLocks noChangeAspect="1"/>
            </wp:cNvGraphicFramePr>
            <a:graphic>
              <a:graphicData uri="http://schemas.openxmlformats.org/drawingml/2006/picture">
                <pic:pic>
                  <pic:nvPicPr>
                    <pic:cNvPr id="0" name="63edb56487135c499907.png"/>
                    <pic:cNvPicPr/>
                  </pic:nvPicPr>
                  <pic:blipFill>
                    <a:blip r:embed="rId14"/>
                    <a:stretch>
                      <a:fillRect/>
                    </a:stretch>
                  </pic:blipFill>
                  <pic:spPr>
                    <a:xfrm>
                      <a:off x="0" y="0"/>
                      <a:ext cx="5705856" cy="2194560"/>
                    </a:xfrm>
                    <a:prstGeom prst="rect"/>
                  </pic:spPr>
                </pic:pic>
              </a:graphicData>
            </a:graphic>
          </wp:inline>
        </w:drawing>
      </w:r>
    </w:p>
    <w:p>
      <w:pPr>
        <w:pStyle w:val="Caption"/>
        <w:keepNext w:val="0"/>
      </w:pPr>
      <w:r>
        <w:t>Safe wording card</w:t>
      </w:r>
    </w:p>
    <w:p>
      <w:pPr>
        <w:pStyle w:val="Heading2"/>
      </w:pPr>
      <w:r>
        <w:t>Exit · one next step</w:t>
      </w:r>
    </w:p>
    <w:p>
      <w:pPr>
        <w:keepNext/>
      </w:pPr>
      <w:r>
        <w:t>After the adult has listened, what will you keep, improve or check next?</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GROW_HUM_W11_Light_Across_the_Map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5B91A5"/>
        <w:sz w:val="18"/>
      </w:rPr>
      <w:t>GROW  /  HUMANITIES    •    PUPIL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5B91A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5B91A5"/>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5B91A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5B91A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