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Fieldwork · Test the Claim</w:t>
      </w:r>
    </w:p>
    <w:p>
      <w:pPr>
        <w:pStyle w:val="Subtitle"/>
      </w:pPr>
      <w:r>
        <w:t>LAUNCH · Humanities · 40 minutes</w:t>
      </w:r>
    </w:p>
    <w:p>
      <w:r>
        <w:t>I can design and use a repeatable sampling method, identify bias and apply ethical and safety controls.</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Turn a W10 claim into a measurable question with one variable.</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How can we collect safe, fair and repeatable local fieldwork evidence? QUESTION / HYPOTHESIS Write the question so a sample can answer it.</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Model one reasoning step at a time. Write the enquiry first, then define each variable using observable criteria.</w:t>
            </w:r>
          </w:p>
        </w:tc>
        <w:tc>
          <w:tcPr>
            <w:tcW w:type="dxa" w:w="3288"/>
            <w:vAlign w:val="top"/>
            <w:shd w:fill="FFFFFF"/>
          </w:tcPr>
          <w:p>
            <w:pPr>
              <w:spacing w:after="60" w:line="269" w:lineRule="auto"/>
            </w:pPr>
            <w:r>
              <w:rPr>
                <w:rFonts w:ascii="Arial" w:hAnsi="Arial"/>
                <w:b w:val="0"/>
                <w:color w:val="18233F"/>
                <w:sz w:val="20"/>
              </w:rPr>
              <w:t>Model one evidence-to-judgement step at a time. Ask the learner to name the evidence used in each step.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Recording data every 120 m along the same transect is which sampling method?</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Strengthen—not lengthen—the reasoning. Where authorised, the intended core is teacher-approved local/on-site micro-fieldwork under the centre risk assessment; the desk-based equivalent has equal curriculum status.</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Virtual Transect · equal-status fallback / method rehearsal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Use the response to adjust the independent question or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Independent mission I can design and use a repeatable sampling method, identify bias and apply ethical and safety controls. 16 minutes.</w:t>
            </w:r>
          </w:p>
        </w:tc>
        <w:tc>
          <w:tcPr>
            <w:tcW w:type="dxa" w:w="3288"/>
            <w:vAlign w:val="top"/>
            <w:shd w:fill="FFFFFF"/>
          </w:tcPr>
          <w:p>
            <w:pPr>
              <w:spacing w:after="60" w:line="269" w:lineRule="auto"/>
            </w:pPr>
            <w:r>
              <w:rPr>
                <w:rFonts w:ascii="Arial" w:hAnsi="Arial"/>
                <w:b w:val="0"/>
                <w:color w:val="18233F"/>
                <w:sz w:val="20"/>
              </w:rPr>
              <w:t>Protect learner ownership; fade content prompts while access remains. Feedback should produce a substantive edit or re-attempt.</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State the sampling method, one control that made it fair and one remaining limitation.</w:t>
            </w:r>
          </w:p>
        </w:tc>
        <w:tc>
          <w:tcPr>
            <w:tcW w:type="dxa" w:w="3288"/>
            <w:vAlign w:val="top"/>
            <w:shd w:fill="F1F5F6"/>
          </w:tcPr>
          <w:p>
            <w:pPr>
              <w:spacing w:after="60" w:line="269" w:lineRule="auto"/>
            </w:pPr>
            <w:r>
              <w:rPr>
                <w:rFonts w:ascii="Arial" w:hAnsi="Arial"/>
                <w:b w:val="0"/>
                <w:color w:val="18233F"/>
                <w:sz w:val="20"/>
              </w:rPr>
              <w:t>Receive the actual response; record product, route and highest content prompt. Change the next source, question, scaffold or method and explain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Systematic sampling</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LAUNCH_HUM_W11_Local_Fieldwork_Collect_Data.html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LAUNCH_HUM_W11_Local_Fieldwork_Collect_Data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