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Autumn Science: Explain, Check, Improve</w:t>
      </w:r>
    </w:p>
    <w:p>
      <w:pPr>
        <w:pStyle w:val="Subtitle"/>
      </w:pPr>
      <w:r>
        <w:t>GROW · Science · 40 minutes</w:t>
      </w:r>
    </w:p>
    <w:p>
      <w:r>
        <w:t>I can use real autumn science evidence to explain one linked idea, note a limit, and improve my work after feedback.</w:t>
      </w:r>
    </w:p>
    <w:p>
      <w:pPr>
        <w:pStyle w:val="Heading1"/>
      </w:pPr>
      <w:r>
        <w:t>Prepare before pupils arrive</w:t>
      </w:r>
    </w:p>
    <w:p>
      <w:r>
        <w:t>Print the pupil pack and open Lesson.pptx. Keep the uploaded HTML available for its live controls. Prepare any approved atlas/source extracts, existing learner work, authorised local data or prior planner named in the source lesson.</w:t>
      </w:r>
    </w:p>
    <w:p>
      <w:r>
        <w:t>Prepare the local source/record pack and agreed access routes; never lower the learning decision.</w:t>
      </w:r>
    </w:p>
    <w:p>
      <w:r>
        <w:t>Keep pupil meaning separate from adult preparation, prompting, exact-word scribing and filing.</w:t>
      </w:r>
    </w:p>
    <w:p>
      <w:r>
        <w:t>Staff qualification / truth boundary This lesson may help make evidence for Pearson ELC Science 8939 or a local UAS review. Only the centre can assess it or claim an award. The lesson adds no new rule. The SoW cell adds no unit, code, criterion or level. This lesson imports none of those as new criteria.</w:t>
      </w:r>
    </w:p>
    <w:p>
      <w:r>
        <w:t>For review or assessment lessons, prepare the centre-approved questions, outcomes and existing learner records. Practice cards and a completed worksheet do not supply missing assessment evidence.</w:t>
      </w:r>
    </w:p>
    <w:p>
      <w:pPr>
        <w:pStyle w:val="Heading2"/>
      </w:pPr>
      <w:r>
        <w:t>Access and participation</w:t>
      </w:r>
    </w:p>
    <w:p>
      <w:r>
        <w:t>Offer reading aloud, pointing, signing, quiet thinking, a no-touch route and exact scribing where these support the learner. Keep the same subject decision. In shared work, let each learner commit before feedback; use a partner as card mover or checker, then swap. Avoid public speed rankings.</w:t>
      </w:r>
    </w:p>
    <w:p>
      <w:pPr>
        <w:pStyle w:val="Heading1"/>
      </w:pPr>
      <w:r>
        <w:t>40-minute teaching sequence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3288"/>
        <w:gridCol w:w="3288"/>
        <w:gridCol w:w="3288"/>
      </w:tblGrid>
      <w:tr>
        <w:trPr>
          <w:cantSplit/>
          <w:tblHeader/>
        </w:trPr>
        <w:tc>
          <w:tcPr>
            <w:tcW w:type="dxa" w:w="3288"/>
            <w:vAlign w:val="top"/>
            <w:shd w:fill="3F7D6E"/>
          </w:tcPr>
          <w:p>
            <w:pPr>
              <w:spacing w:after="60" w:line="269" w:lineRule="auto"/>
            </w:pPr>
            <w:r>
              <w:rPr>
                <w:rFonts w:ascii="Arial" w:hAnsi="Arial"/>
                <w:b/>
                <w:color w:val="FFFFFF"/>
                <w:sz w:val="20"/>
              </w:rPr>
              <w:t>Stage / total time</w:t>
            </w:r>
          </w:p>
        </w:tc>
        <w:tc>
          <w:tcPr>
            <w:tcW w:type="dxa" w:w="3288"/>
            <w:vAlign w:val="top"/>
            <w:shd w:fill="3F7D6E"/>
          </w:tcPr>
          <w:p>
            <w:pPr>
              <w:spacing w:after="60" w:line="269" w:lineRule="auto"/>
            </w:pPr>
            <w:r>
              <w:rPr>
                <w:rFonts w:ascii="Arial" w:hAnsi="Arial"/>
                <w:b/>
                <w:color w:val="FFFFFF"/>
                <w:sz w:val="20"/>
              </w:rPr>
              <w:t>Teaching move</w:t>
            </w:r>
          </w:p>
        </w:tc>
        <w:tc>
          <w:tcPr>
            <w:tcW w:type="dxa" w:w="3288"/>
            <w:vAlign w:val="top"/>
            <w:shd w:fill="3F7D6E"/>
          </w:tcPr>
          <w:p>
            <w:pPr>
              <w:spacing w:after="60" w:line="269" w:lineRule="auto"/>
            </w:pPr>
            <w:r>
              <w:rPr>
                <w:rFonts w:ascii="Arial" w:hAnsi="Arial"/>
                <w:b/>
                <w:color w:val="FFFFFF"/>
                <w:sz w:val="20"/>
              </w:rPr>
              <w:t>Adult support / response</w:t>
            </w:r>
          </w:p>
        </w:tc>
      </w:tr>
      <w:tr>
        <w:trPr>
          <w:cantSplit/>
        </w:trPr>
        <w:tc>
          <w:tcPr>
            <w:tcW w:type="dxa" w:w="3288"/>
            <w:vAlign w:val="top"/>
            <w:shd w:fill="FFFFFF"/>
          </w:tcPr>
          <w:p>
            <w:pPr>
              <w:spacing w:after="60" w:line="269" w:lineRule="auto"/>
            </w:pPr>
            <w:r>
              <w:rPr>
                <w:rFonts w:ascii="Arial" w:hAnsi="Arial"/>
                <w:b w:val="0"/>
                <w:color w:val="18233F"/>
                <w:sz w:val="20"/>
              </w:rPr>
              <w:t>Arrival · 3 min</w:t>
            </w:r>
          </w:p>
        </w:tc>
        <w:tc>
          <w:tcPr>
            <w:tcW w:type="dxa" w:w="3288"/>
            <w:vAlign w:val="top"/>
            <w:shd w:fill="FFFFFF"/>
          </w:tcPr>
          <w:p>
            <w:pPr>
              <w:spacing w:after="60" w:line="269" w:lineRule="auto"/>
            </w:pPr>
            <w:r>
              <w:rPr>
                <w:rFonts w:ascii="Arial" w:hAnsi="Arial"/>
                <w:b w:val="0"/>
                <w:color w:val="18233F"/>
                <w:sz w:val="20"/>
              </w:rPr>
              <w:t>Get your W7A map. Put one marker by the link you trust most.</w:t>
            </w:r>
          </w:p>
        </w:tc>
        <w:tc>
          <w:tcPr>
            <w:tcW w:type="dxa" w:w="3288"/>
            <w:vAlign w:val="top"/>
            <w:shd w:fill="FFFFFF"/>
          </w:tcPr>
          <w:p>
            <w:pPr>
              <w:spacing w:after="60" w:line="269" w:lineRule="auto"/>
            </w:pPr>
            <w:r>
              <w:rPr>
                <w:rFonts w:ascii="Arial" w:hAnsi="Arial"/>
                <w:b w:val="0"/>
                <w:color w:val="18233F"/>
                <w:sz w:val="20"/>
              </w:rPr>
              <w:t>Offer quiet think time, pointing and a pass-and-return route. Change the modality or number of choices before increasing prompting.</w:t>
            </w:r>
          </w:p>
        </w:tc>
      </w:tr>
      <w:tr>
        <w:trPr>
          <w:cantSplit/>
        </w:trPr>
        <w:tc>
          <w:tcPr>
            <w:tcW w:type="dxa" w:w="3288"/>
            <w:vAlign w:val="top"/>
            <w:shd w:fill="F1F5F6"/>
          </w:tcPr>
          <w:p>
            <w:pPr>
              <w:spacing w:after="60" w:line="269" w:lineRule="auto"/>
            </w:pPr>
            <w:r>
              <w:rPr>
                <w:rFonts w:ascii="Arial" w:hAnsi="Arial"/>
                <w:b w:val="0"/>
                <w:color w:val="18233F"/>
                <w:sz w:val="20"/>
              </w:rPr>
              <w:t>Starter · 3 min</w:t>
            </w:r>
          </w:p>
        </w:tc>
        <w:tc>
          <w:tcPr>
            <w:tcW w:type="dxa" w:w="3288"/>
            <w:vAlign w:val="top"/>
            <w:shd w:fill="F1F5F6"/>
          </w:tcPr>
          <w:p>
            <w:pPr>
              <w:spacing w:after="60" w:line="269" w:lineRule="auto"/>
            </w:pPr>
            <w:r>
              <w:rPr>
                <w:rFonts w:ascii="Arial" w:hAnsi="Arial"/>
                <w:b w:val="0"/>
                <w:color w:val="18233F"/>
                <w:sz w:val="20"/>
              </w:rPr>
              <w:t>Picture first: the same four topics. Today: one linked idea, its evidence, and its limit.</w:t>
            </w:r>
          </w:p>
        </w:tc>
        <w:tc>
          <w:tcPr>
            <w:tcW w:type="dxa" w:w="3288"/>
            <w:vAlign w:val="top"/>
            <w:shd w:fill="F1F5F6"/>
          </w:tcPr>
          <w:p>
            <w:pPr>
              <w:spacing w:after="60" w:line="269" w:lineRule="auto"/>
            </w:pPr>
            <w:r>
              <w:rPr>
                <w:rFonts w:ascii="Arial" w:hAnsi="Arial"/>
                <w:b w:val="0"/>
                <w:color w:val="18233F"/>
                <w:sz w:val="20"/>
              </w:rPr>
              <w:t>Receive a private prediction before feedback. If the distinction is insecure, compare two concrete examples and retry the same decision.</w:t>
            </w:r>
          </w:p>
        </w:tc>
      </w:tr>
      <w:tr>
        <w:trPr>
          <w:cantSplit/>
        </w:trPr>
        <w:tc>
          <w:tcPr>
            <w:tcW w:type="dxa" w:w="3288"/>
            <w:vAlign w:val="top"/>
            <w:shd w:fill="FFFFFF"/>
          </w:tcPr>
          <w:p>
            <w:pPr>
              <w:spacing w:after="60" w:line="269" w:lineRule="auto"/>
            </w:pPr>
            <w:r>
              <w:rPr>
                <w:rFonts w:ascii="Arial" w:hAnsi="Arial"/>
                <w:b w:val="0"/>
                <w:color w:val="18233F"/>
                <w:sz w:val="20"/>
              </w:rPr>
              <w:t>I do · 4 min</w:t>
            </w:r>
          </w:p>
        </w:tc>
        <w:tc>
          <w:tcPr>
            <w:tcW w:type="dxa" w:w="3288"/>
            <w:vAlign w:val="top"/>
            <w:shd w:fill="FFFFFF"/>
          </w:tcPr>
          <w:p>
            <w:pPr>
              <w:spacing w:after="60" w:line="269" w:lineRule="auto"/>
            </w:pPr>
            <w:r>
              <w:rPr>
                <w:rFonts w:ascii="Arial" w:hAnsi="Arial"/>
                <w:b w:val="0"/>
                <w:color w:val="18233F"/>
                <w:sz w:val="20"/>
              </w:rPr>
              <w:t>Limit finder Choose a claim, then the honest limit that belongs beside it. Neutral model: a labelled food-chain card shows grass → rabbit → fox.</w:t>
            </w:r>
          </w:p>
        </w:tc>
        <w:tc>
          <w:tcPr>
            <w:tcW w:type="dxa" w:w="3288"/>
            <w:vAlign w:val="top"/>
            <w:shd w:fill="FFFFFF"/>
          </w:tcPr>
          <w:p>
            <w:pPr>
              <w:spacing w:after="60" w:line="269" w:lineRule="auto"/>
            </w:pPr>
            <w:r>
              <w:rPr>
                <w:rFonts w:ascii="Arial" w:hAnsi="Arial"/>
                <w:b w:val="0"/>
                <w:color w:val="18233F"/>
                <w:sz w:val="20"/>
              </w:rPr>
              <w:t>Model a neutral example, not a fictional learner biography, result or completed assessment form. Name the boundary as part of the reasoning, not as a footer.</w:t>
            </w:r>
          </w:p>
        </w:tc>
      </w:tr>
      <w:tr>
        <w:trPr>
          <w:cantSplit/>
        </w:trPr>
        <w:tc>
          <w:tcPr>
            <w:tcW w:type="dxa" w:w="3288"/>
            <w:vAlign w:val="top"/>
            <w:shd w:fill="F1F5F6"/>
          </w:tcPr>
          <w:p>
            <w:pPr>
              <w:spacing w:after="60" w:line="269" w:lineRule="auto"/>
            </w:pPr>
            <w:r>
              <w:rPr>
                <w:rFonts w:ascii="Arial" w:hAnsi="Arial"/>
                <w:b w:val="0"/>
                <w:color w:val="18233F"/>
                <w:sz w:val="20"/>
              </w:rPr>
              <w:t>We do · 3 min</w:t>
            </w:r>
          </w:p>
        </w:tc>
        <w:tc>
          <w:tcPr>
            <w:tcW w:type="dxa" w:w="3288"/>
            <w:vAlign w:val="top"/>
            <w:shd w:fill="F1F5F6"/>
          </w:tcPr>
          <w:p>
            <w:pPr>
              <w:spacing w:after="60" w:line="269" w:lineRule="auto"/>
            </w:pPr>
            <w:r>
              <w:rPr>
                <w:rFonts w:ascii="Arial" w:hAnsi="Arial"/>
                <w:b w:val="0"/>
                <w:color w:val="18233F"/>
                <w:sz w:val="20"/>
              </w:rPr>
              <w:t>Choose the move that makes the science more true, not just longer. Clear Add the missing locator, label or science word so another reader can find the record and follow the link.</w:t>
            </w:r>
          </w:p>
        </w:tc>
        <w:tc>
          <w:tcPr>
            <w:tcW w:type="dxa" w:w="3288"/>
            <w:vAlign w:val="top"/>
            <w:shd w:fill="F1F5F6"/>
          </w:tcPr>
          <w:p>
            <w:pPr>
              <w:spacing w:after="60" w:line="269" w:lineRule="auto"/>
            </w:pPr>
            <w:r>
              <w:rPr>
                <w:rFonts w:ascii="Arial" w:hAnsi="Arial"/>
                <w:b w:val="0"/>
                <w:color w:val="18233F"/>
                <w:sz w:val="20"/>
              </w:rPr>
              <w:t>Give private think time before accepting a spoken, pointed or written choice. Ask for the evidence clue; do not praise confidence as accuracy.</w:t>
            </w:r>
          </w:p>
        </w:tc>
      </w:tr>
      <w:tr>
        <w:trPr>
          <w:cantSplit/>
        </w:trPr>
        <w:tc>
          <w:tcPr>
            <w:tcW w:type="dxa" w:w="3288"/>
            <w:vAlign w:val="top"/>
            <w:shd w:fill="FFFFFF"/>
          </w:tcPr>
          <w:p>
            <w:pPr>
              <w:spacing w:after="60" w:line="269" w:lineRule="auto"/>
            </w:pPr>
            <w:r>
              <w:rPr>
                <w:rFonts w:ascii="Arial" w:hAnsi="Arial"/>
                <w:b w:val="0"/>
                <w:color w:val="18233F"/>
                <w:sz w:val="20"/>
              </w:rPr>
              <w:t>I do 2 · 3 min</w:t>
            </w:r>
          </w:p>
        </w:tc>
        <w:tc>
          <w:tcPr>
            <w:tcW w:type="dxa" w:w="3288"/>
            <w:vAlign w:val="top"/>
            <w:shd w:fill="FFFFFF"/>
          </w:tcPr>
          <w:p>
            <w:pPr>
              <w:spacing w:after="60" w:line="269" w:lineRule="auto"/>
            </w:pPr>
            <w:r>
              <w:rPr>
                <w:rFonts w:ascii="Arial" w:hAnsi="Arial"/>
                <w:b w:val="0"/>
                <w:color w:val="18233F"/>
                <w:sz w:val="20"/>
              </w:rPr>
              <w:t>Read or hear the response. It is not a score.</w:t>
            </w:r>
          </w:p>
        </w:tc>
        <w:tc>
          <w:tcPr>
            <w:tcW w:type="dxa" w:w="3288"/>
            <w:vAlign w:val="top"/>
            <w:shd w:fill="FFFFFF"/>
          </w:tcPr>
          <w:p>
            <w:pPr>
              <w:spacing w:after="60" w:line="269" w:lineRule="auto"/>
            </w:pPr>
            <w:r>
              <w:rPr>
                <w:rFonts w:ascii="Arial" w:hAnsi="Arial"/>
                <w:b w:val="0"/>
                <w:color w:val="18233F"/>
                <w:sz w:val="20"/>
              </w:rPr>
              <w:t>Keep the model inside the source and authorship boundary. A missing record, uncertain claim or approval decision remains visible.</w:t>
            </w:r>
          </w:p>
        </w:tc>
      </w:tr>
      <w:tr>
        <w:trPr>
          <w:cantSplit/>
        </w:trPr>
        <w:tc>
          <w:tcPr>
            <w:tcW w:type="dxa" w:w="3288"/>
            <w:vAlign w:val="top"/>
            <w:shd w:fill="F1F5F6"/>
          </w:tcPr>
          <w:p>
            <w:pPr>
              <w:spacing w:after="60" w:line="269" w:lineRule="auto"/>
            </w:pPr>
            <w:r>
              <w:rPr>
                <w:rFonts w:ascii="Arial" w:hAnsi="Arial"/>
                <w:b w:val="0"/>
                <w:color w:val="18233F"/>
                <w:sz w:val="20"/>
              </w:rPr>
              <w:t>We do 2 · 4 min</w:t>
            </w:r>
          </w:p>
        </w:tc>
        <w:tc>
          <w:tcPr>
            <w:tcW w:type="dxa" w:w="3288"/>
            <w:vAlign w:val="top"/>
            <w:shd w:fill="F1F5F6"/>
          </w:tcPr>
          <w:p>
            <w:pPr>
              <w:spacing w:after="60" w:line="269" w:lineRule="auto"/>
            </w:pPr>
            <w:r>
              <w:rPr>
                <w:rFonts w:ascii="Arial" w:hAnsi="Arial"/>
                <w:b w:val="0"/>
                <w:color w:val="18233F"/>
                <w:sz w:val="20"/>
              </w:rPr>
              <w:t>1 · Locate Find the genuine record, source or prior idea. Keep its date, filename, page, lesson title or source-card ID attached.</w:t>
            </w:r>
          </w:p>
        </w:tc>
        <w:tc>
          <w:tcPr>
            <w:tcW w:type="dxa" w:w="3288"/>
            <w:vAlign w:val="top"/>
            <w:shd w:fill="F1F5F6"/>
          </w:tcPr>
          <w:p>
            <w:pPr>
              <w:spacing w:after="60" w:line="269" w:lineRule="auto"/>
            </w:pPr>
            <w:r>
              <w:rPr>
                <w:rFonts w:ascii="Arial" w:hAnsi="Arial"/>
                <w:b w:val="0"/>
                <w:color w:val="18233F"/>
                <w:sz w:val="20"/>
              </w:rPr>
              <w:t>Let the learner operate or direct the shared sort. Use the explanation to select the lightest independent scaffold.</w:t>
            </w:r>
          </w:p>
        </w:tc>
      </w:tr>
      <w:tr>
        <w:trPr>
          <w:cantSplit/>
        </w:trPr>
        <w:tc>
          <w:tcPr>
            <w:tcW w:type="dxa" w:w="3288"/>
            <w:vAlign w:val="top"/>
            <w:shd w:fill="FFFFFF"/>
          </w:tcPr>
          <w:p>
            <w:pPr>
              <w:spacing w:after="60" w:line="269" w:lineRule="auto"/>
            </w:pPr>
            <w:r>
              <w:rPr>
                <w:rFonts w:ascii="Arial" w:hAnsi="Arial"/>
                <w:b w:val="0"/>
                <w:color w:val="18233F"/>
                <w:sz w:val="20"/>
              </w:rPr>
              <w:t>Independent · 16 min</w:t>
            </w:r>
          </w:p>
        </w:tc>
        <w:tc>
          <w:tcPr>
            <w:tcW w:type="dxa" w:w="3288"/>
            <w:vAlign w:val="top"/>
            <w:shd w:fill="FFFFFF"/>
          </w:tcPr>
          <w:p>
            <w:pPr>
              <w:spacing w:after="60" w:line="269" w:lineRule="auto"/>
            </w:pPr>
            <w:r>
              <w:rPr>
                <w:rFonts w:ascii="Arial" w:hAnsi="Arial"/>
                <w:b w:val="0"/>
                <w:color w:val="18233F"/>
                <w:sz w:val="20"/>
              </w:rPr>
              <w:t>Make one evidence-led account from real autumn work. Include a claim, the place to find the evidence, the link, one limit and one clear change after a response.</w:t>
            </w:r>
          </w:p>
        </w:tc>
        <w:tc>
          <w:tcPr>
            <w:tcW w:type="dxa" w:w="3288"/>
            <w:vAlign w:val="top"/>
            <w:shd w:fill="FFFFFF"/>
          </w:tcPr>
          <w:p>
            <w:pPr>
              <w:spacing w:after="60" w:line="269" w:lineRule="auto"/>
            </w:pPr>
            <w:r>
              <w:rPr>
                <w:rFonts w:ascii="Arial" w:hAnsi="Arial"/>
                <w:b w:val="0"/>
                <w:color w:val="18233F"/>
                <w:sz w:val="20"/>
              </w:rPr>
              <w:t>Use least-prompt-first and keep exact-word scribing visibly adult-supported. Capture only genuine learner decisions and meaning; the HTML stores nothing.</w:t>
            </w:r>
          </w:p>
        </w:tc>
      </w:tr>
      <w:tr>
        <w:trPr>
          <w:cantSplit/>
        </w:trPr>
        <w:tc>
          <w:tcPr>
            <w:tcW w:type="dxa" w:w="3288"/>
            <w:vAlign w:val="top"/>
            <w:shd w:fill="F1F5F6"/>
          </w:tcPr>
          <w:p>
            <w:pPr>
              <w:spacing w:after="60" w:line="269" w:lineRule="auto"/>
            </w:pPr>
            <w:r>
              <w:rPr>
                <w:rFonts w:ascii="Arial" w:hAnsi="Arial"/>
                <w:b w:val="0"/>
                <w:color w:val="18233F"/>
                <w:sz w:val="20"/>
              </w:rPr>
              <w:t>Exit · 4 min</w:t>
            </w:r>
          </w:p>
        </w:tc>
        <w:tc>
          <w:tcPr>
            <w:tcW w:type="dxa" w:w="3288"/>
            <w:vAlign w:val="top"/>
            <w:shd w:fill="F1F5F6"/>
          </w:tcPr>
          <w:p>
            <w:pPr>
              <w:spacing w:after="60" w:line="269" w:lineRule="auto"/>
            </w:pPr>
            <w:r>
              <w:rPr>
                <w:rFonts w:ascii="Arial" w:hAnsi="Arial"/>
                <w:b w:val="0"/>
                <w:color w:val="18233F"/>
                <w:sz w:val="20"/>
              </w:rPr>
              <w:t>Show the before and after change. Complete: 'My evidence supports… It does not show… I changed… because…'.</w:t>
            </w:r>
          </w:p>
        </w:tc>
        <w:tc>
          <w:tcPr>
            <w:tcW w:type="dxa" w:w="3288"/>
            <w:vAlign w:val="top"/>
            <w:shd w:fill="F1F5F6"/>
          </w:tcPr>
          <w:p>
            <w:pPr>
              <w:spacing w:after="60" w:line="269" w:lineRule="auto"/>
            </w:pPr>
            <w:r>
              <w:rPr>
                <w:rFonts w:ascii="Arial" w:hAnsi="Arial"/>
                <w:b w:val="0"/>
                <w:color w:val="18233F"/>
                <w:sz w:val="20"/>
              </w:rPr>
              <w:t>Receive the learner's evidence and limit; do not upgrade either. Name the receiving role and the next report-back point.</w:t>
            </w:r>
          </w:p>
        </w:tc>
      </w:tr>
    </w:tbl>
    <w:p>
      <w:pPr>
        <w:spacing w:after="0"/>
      </w:pPr>
    </w:p>
    <w:p>
      <w:r>
        <w:t>The timing belongs to the whole stage. Several PowerPoint slides may share it; do not restart that time on every slide. Full source-stage text is in the PowerPoint speaker notes and original HTML.</w:t>
      </w:r>
    </w:p>
    <w:p>
      <w:pPr>
        <w:pStyle w:val="Heading1"/>
        <w:pageBreakBefore/>
      </w:pPr>
      <w:r>
        <w:t>Answers, evidence and feedback</w:t>
      </w:r>
    </w:p>
    <w:p>
      <w:pPr>
        <w:pStyle w:val="Heading2"/>
      </w:pPr>
      <w:r>
        <w:t>1 · Make clear</w:t>
      </w:r>
    </w:p>
    <w:p>
      <w:r>
        <w:t>Make clear: help the reader find the evidence or know the science term.</w:t>
      </w:r>
    </w:p>
    <w:p>
      <w:pPr>
        <w:pStyle w:val="Heading2"/>
      </w:pPr>
      <w:r>
        <w:t>2 · Make fair</w:t>
      </w:r>
    </w:p>
    <w:p>
      <w:r>
        <w:t>Make fair: cut back a claim that goes too far.</w:t>
      </w:r>
    </w:p>
    <w:p>
      <w:pPr>
        <w:pStyle w:val="Heading2"/>
      </w:pPr>
      <w:r>
        <w:t>3 · Make wider</w:t>
      </w:r>
    </w:p>
    <w:p>
      <w:r>
        <w:t>Make wider: link to another autumn idea. Do not invent a result.</w:t>
      </w:r>
    </w:p>
    <w:p>
      <w:pPr>
        <w:pStyle w:val="Heading2"/>
      </w:pPr>
      <w:r>
        <w:t>Record the teaching response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4932"/>
        <w:gridCol w:w="4932"/>
      </w:tblGrid>
      <w:tr>
        <w:trPr>
          <w:cantSplit/>
          <w:tblHeader/>
        </w:trPr>
        <w:tc>
          <w:tcPr>
            <w:tcW w:type="dxa" w:w="4932"/>
            <w:vAlign w:val="top"/>
            <w:shd w:fill="3F7D6E"/>
          </w:tcPr>
          <w:p>
            <w:pPr>
              <w:spacing w:after="60" w:line="269" w:lineRule="auto"/>
            </w:pPr>
            <w:r>
              <w:rPr>
                <w:rFonts w:ascii="Arial" w:hAnsi="Arial"/>
                <w:b/>
                <w:color w:val="FFFFFF"/>
                <w:sz w:val="21"/>
              </w:rPr>
              <w:t>What the learner actually showed</w:t>
            </w:r>
          </w:p>
        </w:tc>
        <w:tc>
          <w:tcPr>
            <w:tcW w:type="dxa" w:w="4932"/>
            <w:vAlign w:val="top"/>
            <w:shd w:fill="3F7D6E"/>
          </w:tcPr>
          <w:p>
            <w:pPr>
              <w:spacing w:after="60" w:line="269" w:lineRule="auto"/>
            </w:pPr>
            <w:r>
              <w:rPr>
                <w:rFonts w:ascii="Arial" w:hAnsi="Arial"/>
                <w:b/>
                <w:color w:val="FFFFFF"/>
                <w:sz w:val="21"/>
              </w:rPr>
              <w:t>Next teaching action</w:t>
            </w:r>
          </w:p>
        </w:tc>
      </w:tr>
      <w:tr>
        <w:trPr>
          <w:cantSplit/>
        </w:trPr>
        <w:tc>
          <w:tcPr>
            <w:tcW w:type="dxa" w:w="4932"/>
            <w:vAlign w:val="top"/>
            <w:shd w:fill="FFFFFF"/>
          </w:tcPr>
          <w:p>
            <w:pPr>
              <w:spacing w:after="60" w:line="269" w:lineRule="auto"/>
            </w:pPr>
            <w:r>
              <w:rPr>
                <w:rFonts w:ascii="Arial" w:hAnsi="Arial"/>
                <w:b w:val="0"/>
                <w:color w:val="18233F"/>
                <w:sz w:val="21"/>
              </w:rPr>
              <w:t>Secure explanation with evidence</w:t>
            </w:r>
          </w:p>
        </w:tc>
        <w:tc>
          <w:tcPr>
            <w:tcW w:type="dxa" w:w="4932"/>
            <w:vAlign w:val="top"/>
            <w:shd w:fill="FFFFFF"/>
          </w:tcPr>
          <w:p>
            <w:pPr>
              <w:spacing w:after="60" w:line="269" w:lineRule="auto"/>
            </w:pPr>
            <w:r>
              <w:rPr>
                <w:rFonts w:ascii="Arial" w:hAnsi="Arial"/>
                <w:b w:val="0"/>
                <w:color w:val="18233F"/>
                <w:sz w:val="21"/>
              </w:rPr>
              <w:t>Reduce content prompting; offer another example or a limitation.</w:t>
            </w:r>
          </w:p>
        </w:tc>
      </w:tr>
      <w:tr>
        <w:trPr>
          <w:cantSplit/>
        </w:trPr>
        <w:tc>
          <w:tcPr>
            <w:tcW w:type="dxa" w:w="4932"/>
            <w:vAlign w:val="top"/>
            <w:shd w:fill="F1F5F6"/>
          </w:tcPr>
          <w:p>
            <w:pPr>
              <w:spacing w:after="60" w:line="269" w:lineRule="auto"/>
            </w:pPr>
            <w:r>
              <w:rPr>
                <w:rFonts w:ascii="Arial" w:hAnsi="Arial"/>
                <w:b w:val="0"/>
                <w:color w:val="18233F"/>
                <w:sz w:val="21"/>
              </w:rPr>
              <w:t>Partly correct / mixed</w:t>
            </w:r>
          </w:p>
        </w:tc>
        <w:tc>
          <w:tcPr>
            <w:tcW w:type="dxa" w:w="4932"/>
            <w:vAlign w:val="top"/>
            <w:shd w:fill="F1F5F6"/>
          </w:tcPr>
          <w:p>
            <w:pPr>
              <w:spacing w:after="60" w:line="269" w:lineRule="auto"/>
            </w:pPr>
            <w:r>
              <w:rPr>
                <w:rFonts w:ascii="Arial" w:hAnsi="Arial"/>
                <w:b w:val="0"/>
                <w:color w:val="18233F"/>
                <w:sz w:val="21"/>
              </w:rPr>
              <w:t>Point to the deciding evidence and invite a revision.</w:t>
            </w:r>
          </w:p>
        </w:tc>
      </w:tr>
      <w:tr>
        <w:trPr>
          <w:cantSplit/>
        </w:trPr>
        <w:tc>
          <w:tcPr>
            <w:tcW w:type="dxa" w:w="4932"/>
            <w:vAlign w:val="top"/>
            <w:shd w:fill="FFFFFF"/>
          </w:tcPr>
          <w:p>
            <w:pPr>
              <w:spacing w:after="60" w:line="269" w:lineRule="auto"/>
            </w:pPr>
            <w:r>
              <w:rPr>
                <w:rFonts w:ascii="Arial" w:hAnsi="Arial"/>
                <w:b w:val="0"/>
                <w:color w:val="18233F"/>
                <w:sz w:val="21"/>
              </w:rPr>
              <w:t>Access barrier</w:t>
            </w:r>
          </w:p>
        </w:tc>
        <w:tc>
          <w:tcPr>
            <w:tcW w:type="dxa" w:w="4932"/>
            <w:vAlign w:val="top"/>
            <w:shd w:fill="FFFFFF"/>
          </w:tcPr>
          <w:p>
            <w:pPr>
              <w:spacing w:after="60" w:line="269" w:lineRule="auto"/>
            </w:pPr>
            <w:r>
              <w:rPr>
                <w:rFonts w:ascii="Arial" w:hAnsi="Arial"/>
                <w:b w:val="0"/>
                <w:color w:val="18233F"/>
                <w:sz w:val="21"/>
              </w:rPr>
              <w:t>Change the reading, sensory or response format; keep the subject decision.</w:t>
            </w:r>
          </w:p>
        </w:tc>
      </w:tr>
      <w:tr>
        <w:trPr>
          <w:cantSplit/>
        </w:trPr>
        <w:tc>
          <w:tcPr>
            <w:tcW w:type="dxa" w:w="4932"/>
            <w:vAlign w:val="top"/>
            <w:shd w:fill="F1F5F6"/>
          </w:tcPr>
          <w:p>
            <w:pPr>
              <w:spacing w:after="60" w:line="269" w:lineRule="auto"/>
            </w:pPr>
            <w:r>
              <w:rPr>
                <w:rFonts w:ascii="Arial" w:hAnsi="Arial"/>
                <w:b w:val="0"/>
                <w:color w:val="18233F"/>
                <w:sz w:val="21"/>
              </w:rPr>
              <w:t>Missing source or observation</w:t>
            </w:r>
          </w:p>
        </w:tc>
        <w:tc>
          <w:tcPr>
            <w:tcW w:type="dxa" w:w="4932"/>
            <w:vAlign w:val="top"/>
            <w:shd w:fill="F1F5F6"/>
          </w:tcPr>
          <w:p>
            <w:pPr>
              <w:spacing w:after="60" w:line="269" w:lineRule="auto"/>
            </w:pPr>
            <w:r>
              <w:rPr>
                <w:rFonts w:ascii="Arial" w:hAnsi="Arial"/>
                <w:b w:val="0"/>
                <w:color w:val="18233F"/>
                <w:sz w:val="21"/>
              </w:rPr>
              <w:t>Keep the gap visible. Name the source or authorised check needed.</w:t>
            </w:r>
          </w:p>
        </w:tc>
      </w:tr>
    </w:tbl>
    <w:p>
      <w:pPr>
        <w:spacing w:after="0"/>
      </w:pPr>
    </w:p>
    <w:p>
      <w:pPr>
        <w:pStyle w:val="Heading2"/>
      </w:pPr>
      <w:r>
        <w:t>Safety and evidence boundary</w:t>
      </w:r>
    </w:p>
    <w:p>
      <w:r>
        <w:t>Use the centre’s authorised practical or fieldwork method and local risk assessment. Supplied sample data, fictional place models, card feedback and rehearsals are teaching material. They are not the learner’s practical observations or proof of a qualification outcome. For portfolio use, check the exact registered unit/version, accepted evidence and centre process.</w:t>
      </w:r>
    </w:p>
    <w:p>
      <w:pPr>
        <w:pStyle w:val="Heading1"/>
      </w:pPr>
      <w:r>
        <w:t>Sources and companion notes</w:t>
      </w:r>
    </w:p>
    <w:p>
      <w:r>
        <w:t>Primary classroom source: SCI_G_A2_W7B_Autumn_Science_Evidence_Do.html</w:t>
      </w:r>
    </w:p>
    <w:p>
      <w:r>
        <w:t>The uploaded lesson is included unchanged. Text and teaching steps in the PowerPoint are editable; source diagrams are placed images. Word booklets are editable. Static PDFs cannot reproduce HTML controls; use the paper cards/tables or open the original HTML.</w:t>
      </w:r>
    </w:p>
    <w:p>
      <w:r>
        <w:t>Verification scope: matched to the uploaded title, pathway, objective, stage sequence and 40-minute timing. Embedded workbook references are retained as source locators; this is not a new line-by-line audit of every scheme-of-work row or a centre assessment sign-off.</w:t>
      </w:r>
    </w:p>
    <w:sectPr w:rsidR="00FC693F" w:rsidRPr="0006063C" w:rsidSect="00034616">
      <w:headerReference w:type="default" r:id="rId9"/>
      <w:footerReference w:type="default" r:id="rId10"/>
      <w:pgSz w:w="11906" w:h="16838"/>
      <w:pgMar w:top="1020" w:right="1020" w:bottom="102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SCI_G_A2_W7B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rial" w:hAnsi="Arial"/>
        <w:color w:val="3F7D6E"/>
        <w:sz w:val="18"/>
      </w:rPr>
      <w:t>GROW  /  SCIENCE    •    TEACHER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823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3F7D6E"/>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3F7D6E"/>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3F7D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3F7D6E"/>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Arial" w:hAnsi="Arial"/>
      <w:color w:val="18233F"/>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ind w:left="340" w:hanging="170"/>
      <w:contextualSpacing/>
    </w:pPr>
    <w:rPr>
      <w:rFonts w:ascii="Arial" w:hAnsi="Arial"/>
      <w:color w:val="18233F"/>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6" w:lineRule="auto"/>
      <w:ind w:left="340" w:hanging="170"/>
      <w:contextualSpacing/>
    </w:pPr>
    <w:rPr>
      <w:rFonts w:ascii="Arial" w:hAnsi="Arial"/>
      <w:color w:val="18233F"/>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