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Stem Cells and Meristems: Potential Compared</w:t>
      </w:r>
    </w:p>
    <w:p>
      <w:pPr>
        <w:pStyle w:val="Subtitle"/>
      </w:pPr>
      <w:r>
        <w:t>LAUNCH · Science · 40 minutes</w:t>
      </w:r>
    </w:p>
    <w:p>
      <w:r>
        <w:t>I can compare embryonic stem cells, adult tissue stem cells and plant meristem cells using evidence about self-renewal, differentiation range and function.</w:t>
      </w:r>
    </w:p>
    <w:p>
      <w:pPr>
        <w:pStyle w:val="Heading1"/>
      </w:pPr>
      <w:r>
        <w:t>Prepare before pupils arrive</w:t>
      </w:r>
    </w:p>
    <w:p>
      <w:r>
        <w:t>Setup: Prepare a source-labelled, fictional dataset and comparison cards. Check that resources distinguish source, self-renewal, differentiation potential, laboratory outcome and clinical claim.</w:t>
      </w:r>
    </w:p>
    <w:p>
      <w:r>
        <w:t>Safety: No biological culture is authorised. Keep discussion factual and non-diagnostic; do not describe experimental work as an available cure, and reserve structured benefit/risk/ethical evaluation for W11.</w:t>
      </w:r>
    </w:p>
    <w:p>
      <w:r>
        <w:t>Equipment: Source-and-outcome cards, supplied fictional research table, calculator, comparison matrix and enlarged branching model.</w:t>
      </w:r>
    </w:p>
    <w:p>
      <w:r>
        <w:t>Safety: No live cells, embryos, cultures or human tissue are used. Treat medical examples sensitively, use anonymised/fictional data and do not invite disclosure or offer treatment advice.</w:t>
      </w:r>
    </w:p>
    <w:p>
      <w:r>
        <w:t>Fallback: Use tactile source icons, reduced-choice outcome cards, pre-entered calculations and exact pupil-directed scribing while retaining all three groups and the evidence limit.</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Source lesson curriculum link: Edexcel GCSE Biology 1BI0 Foundation · Paper 1 · Topic 2 · specification point 2.8, embryonic and adult animal stem cells and plant meristems.</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7A5C9E"/>
          </w:tcPr>
          <w:p>
            <w:pPr>
              <w:spacing w:after="60" w:line="269" w:lineRule="auto"/>
            </w:pPr>
            <w:r>
              <w:rPr>
                <w:rFonts w:ascii="Arial" w:hAnsi="Arial"/>
                <w:b/>
                <w:color w:val="FFFFFF"/>
                <w:sz w:val="20"/>
              </w:rPr>
              <w:t>Stage / total time</w:t>
            </w:r>
          </w:p>
        </w:tc>
        <w:tc>
          <w:tcPr>
            <w:tcW w:type="dxa" w:w="3288"/>
            <w:vAlign w:val="top"/>
            <w:shd w:fill="7A5C9E"/>
          </w:tcPr>
          <w:p>
            <w:pPr>
              <w:spacing w:after="60" w:line="269" w:lineRule="auto"/>
            </w:pPr>
            <w:r>
              <w:rPr>
                <w:rFonts w:ascii="Arial" w:hAnsi="Arial"/>
                <w:b/>
                <w:color w:val="FFFFFF"/>
                <w:sz w:val="20"/>
              </w:rPr>
              <w:t>Teaching move</w:t>
            </w:r>
          </w:p>
        </w:tc>
        <w:tc>
          <w:tcPr>
            <w:tcW w:type="dxa" w:w="3288"/>
            <w:vAlign w:val="top"/>
            <w:shd w:fill="7A5C9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Define differentiation. State one role of cell division in growth or repair.</w:t>
            </w:r>
          </w:p>
        </w:tc>
        <w:tc>
          <w:tcPr>
            <w:tcW w:type="dxa" w:w="3288"/>
            <w:vAlign w:val="top"/>
            <w:shd w:fill="FFFFFF"/>
          </w:tcPr>
          <w:p>
            <w:pPr>
              <w:spacing w:after="60" w:line="269" w:lineRule="auto"/>
            </w:pPr>
            <w:r>
              <w:rPr>
                <w:rFonts w:ascii="Arial" w:hAnsi="Arial"/>
                <w:b w:val="0"/>
                <w:color w:val="18233F"/>
                <w:sz w:val="20"/>
              </w:rPr>
              <w:t>Wait, regulate and retrieve through the lightest workable route. If recall is inaccessible, point to one retrieval sentence; do not teach today’s answer.</w:t>
            </w:r>
          </w:p>
        </w:tc>
      </w:tr>
      <w:tr>
        <w:trPr>
          <w:cantSplit/>
        </w:trPr>
        <w:tc>
          <w:tcPr>
            <w:tcW w:type="dxa" w:w="3288"/>
            <w:vAlign w:val="top"/>
            <w:shd w:fill="F1F5F6"/>
          </w:tcPr>
          <w:p>
            <w:pPr>
              <w:spacing w:after="60" w:line="269" w:lineRule="auto"/>
            </w:pPr>
            <w:r>
              <w:rPr>
                <w:rFonts w:ascii="Arial" w:hAnsi="Arial"/>
                <w:b w:val="0"/>
                <w:color w:val="18233F"/>
                <w:sz w:val="20"/>
              </w:rPr>
              <w:t>Starter · 4 min</w:t>
            </w:r>
          </w:p>
        </w:tc>
        <w:tc>
          <w:tcPr>
            <w:tcW w:type="dxa" w:w="3288"/>
            <w:vAlign w:val="top"/>
            <w:shd w:fill="F1F5F6"/>
          </w:tcPr>
          <w:p>
            <w:pPr>
              <w:spacing w:after="60" w:line="269" w:lineRule="auto"/>
            </w:pPr>
            <w:r>
              <w:rPr>
                <w:rFonts w:ascii="Arial" w:hAnsi="Arial"/>
                <w:b w:val="0"/>
                <w:color w:val="18233F"/>
                <w:sz w:val="20"/>
              </w:rPr>
              <w:t>Think first. Point, say, sign or write your choice.</w:t>
            </w:r>
          </w:p>
        </w:tc>
        <w:tc>
          <w:tcPr>
            <w:tcW w:type="dxa" w:w="3288"/>
            <w:vAlign w:val="top"/>
            <w:shd w:fill="F1F5F6"/>
          </w:tcPr>
          <w:p>
            <w:pPr>
              <w:spacing w:after="60" w:line="269" w:lineRule="auto"/>
            </w:pPr>
            <w:r>
              <w:rPr>
                <w:rFonts w:ascii="Arial" w:hAnsi="Arial"/>
                <w:b w:val="0"/>
                <w:color w:val="18233F"/>
                <w:sz w:val="20"/>
              </w:rPr>
              <w:t>Protect curiosity: receive every first idea without judgement. Ask ‘What makes you think that?’ and preserve the prediction for later evidence.</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stem cell — unspecialised source cell self-renewal — maintain the source meristem — plant growth tissue Use a branching model: one route maintains a stem-cell population through self-renewal; another route produces cells that begin differentiation. Place embryonic stem cells on a broad animal-cell branch and adult tissue stem cells on a narrower tissue-related branch, while noting that exact potential depends on type and conditions.</w:t>
            </w:r>
          </w:p>
        </w:tc>
        <w:tc>
          <w:tcPr>
            <w:tcW w:type="dxa" w:w="3288"/>
            <w:vAlign w:val="top"/>
            <w:shd w:fill="FFFFFF"/>
          </w:tcPr>
          <w:p>
            <w:pPr>
              <w:spacing w:after="60" w:line="269" w:lineRule="auto"/>
            </w:pPr>
            <w:r>
              <w:rPr>
                <w:rFonts w:ascii="Arial" w:hAnsi="Arial"/>
                <w:b w:val="0"/>
                <w:color w:val="18233F"/>
                <w:sz w:val="20"/>
              </w:rPr>
              <w:t>Let the teacher/model carry the explanation; pupils watch, point or track. Use a visual cue only if access is the barrier, then fade it.</w:t>
            </w:r>
          </w:p>
        </w:tc>
      </w:tr>
      <w:tr>
        <w:trPr>
          <w:cantSplit/>
        </w:trPr>
        <w:tc>
          <w:tcPr>
            <w:tcW w:type="dxa" w:w="3288"/>
            <w:vAlign w:val="top"/>
            <w:shd w:fill="F1F5F6"/>
          </w:tcPr>
          <w:p>
            <w:pPr>
              <w:spacing w:after="60" w:line="269" w:lineRule="auto"/>
            </w:pPr>
            <w:r>
              <w:rPr>
                <w:rFonts w:ascii="Arial" w:hAnsi="Arial"/>
                <w:b w:val="0"/>
                <w:color w:val="18233F"/>
                <w:sz w:val="20"/>
              </w:rPr>
              <w:t>We do · 4 min</w:t>
            </w:r>
          </w:p>
        </w:tc>
        <w:tc>
          <w:tcPr>
            <w:tcW w:type="dxa" w:w="3288"/>
            <w:vAlign w:val="top"/>
            <w:shd w:fill="F1F5F6"/>
          </w:tcPr>
          <w:p>
            <w:pPr>
              <w:spacing w:after="60" w:line="269" w:lineRule="auto"/>
            </w:pPr>
            <w:r>
              <w:rPr>
                <w:rFonts w:ascii="Arial" w:hAnsi="Arial"/>
                <w:b w:val="0"/>
                <w:color w:val="18233F"/>
                <w:sz w:val="20"/>
              </w:rPr>
              <w:t>Commit to an answer. Show the evidence you used.</w:t>
            </w:r>
          </w:p>
        </w:tc>
        <w:tc>
          <w:tcPr>
            <w:tcW w:type="dxa" w:w="3288"/>
            <w:vAlign w:val="top"/>
            <w:shd w:fill="F1F5F6"/>
          </w:tcPr>
          <w:p>
            <w:pPr>
              <w:spacing w:after="60" w:line="269" w:lineRule="auto"/>
            </w:pPr>
            <w:r>
              <w:rPr>
                <w:rFonts w:ascii="Arial" w:hAnsi="Arial"/>
                <w:b w:val="0"/>
                <w:color w:val="18233F"/>
                <w:sz w:val="20"/>
              </w:rPr>
              <w:t>Scan every response mode. Do not infer understanding from handwriting or confidence. Secure: transfer. Mixed: contrast. Misconception: counterexample then a fresh question.</w:t>
            </w:r>
          </w:p>
        </w:tc>
      </w:tr>
      <w:tr>
        <w:trPr>
          <w:cantSplit/>
        </w:trPr>
        <w:tc>
          <w:tcPr>
            <w:tcW w:type="dxa" w:w="3288"/>
            <w:vAlign w:val="top"/>
            <w:shd w:fill="FFFFFF"/>
          </w:tcPr>
          <w:p>
            <w:pPr>
              <w:spacing w:after="60" w:line="269" w:lineRule="auto"/>
            </w:pPr>
            <w:r>
              <w:rPr>
                <w:rFonts w:ascii="Arial" w:hAnsi="Arial"/>
                <w:b w:val="0"/>
                <w:color w:val="18233F"/>
                <w:sz w:val="20"/>
              </w:rPr>
              <w:t>I do 2 · 4 min</w:t>
            </w:r>
          </w:p>
        </w:tc>
        <w:tc>
          <w:tcPr>
            <w:tcW w:type="dxa" w:w="3288"/>
            <w:vAlign w:val="top"/>
            <w:shd w:fill="FFFFFF"/>
          </w:tcPr>
          <w:p>
            <w:pPr>
              <w:spacing w:after="60" w:line="269" w:lineRule="auto"/>
            </w:pPr>
            <w:r>
              <w:rPr>
                <w:rFonts w:ascii="Arial" w:hAnsi="Arial"/>
                <w:b w:val="0"/>
                <w:color w:val="18233F"/>
                <w:sz w:val="20"/>
              </w:rPr>
              <w:t>Read a source-evidence table using the same headings for every group: source, self-renewal evidence, differentiated outcomes and known limitation. Calculate a simple differentiation percentage as cells with the stated marker divided by total observed cells multiplied by 100, keeping it tied to the tested conditions.</w:t>
            </w:r>
          </w:p>
        </w:tc>
        <w:tc>
          <w:tcPr>
            <w:tcW w:type="dxa" w:w="3288"/>
            <w:vAlign w:val="top"/>
            <w:shd w:fill="FFFFFF"/>
          </w:tcPr>
          <w:p>
            <w:pPr>
              <w:spacing w:after="60" w:line="269" w:lineRule="auto"/>
            </w:pPr>
            <w:r>
              <w:rPr>
                <w:rFonts w:ascii="Arial" w:hAnsi="Arial"/>
                <w:b w:val="0"/>
                <w:color w:val="18233F"/>
                <w:sz w:val="20"/>
              </w:rPr>
              <w:t>Model one complete evidence-to-explanation sentence, then pause. Keep the science words; change density, modality or adult role before changing the goal.</w:t>
            </w:r>
          </w:p>
        </w:tc>
      </w:tr>
      <w:tr>
        <w:trPr>
          <w:cantSplit/>
        </w:trPr>
        <w:tc>
          <w:tcPr>
            <w:tcW w:type="dxa" w:w="3288"/>
            <w:vAlign w:val="top"/>
            <w:shd w:fill="F1F5F6"/>
          </w:tcPr>
          <w:p>
            <w:pPr>
              <w:spacing w:after="60" w:line="269" w:lineRule="auto"/>
            </w:pPr>
            <w:r>
              <w:rPr>
                <w:rFonts w:ascii="Arial" w:hAnsi="Arial"/>
                <w:b w:val="0"/>
                <w:color w:val="18233F"/>
                <w:sz w:val="20"/>
              </w:rPr>
              <w:t>We do 2 · 5 min</w:t>
            </w:r>
          </w:p>
        </w:tc>
        <w:tc>
          <w:tcPr>
            <w:tcW w:type="dxa" w:w="3288"/>
            <w:vAlign w:val="top"/>
            <w:shd w:fill="F1F5F6"/>
          </w:tcPr>
          <w:p>
            <w:pPr>
              <w:spacing w:after="60" w:line="269" w:lineRule="auto"/>
            </w:pPr>
            <w:r>
              <w:rPr>
                <w:rFonts w:ascii="Arial" w:hAnsi="Arial"/>
                <w:b w:val="0"/>
                <w:color w:val="18233F"/>
                <w:sz w:val="20"/>
              </w:rPr>
              <w:t>Route each evidence card to embryonic stem cells, adult tissue stem cells or plant meristems, then justify one comparison. Read the source and outcome evidence on one card.</w:t>
            </w:r>
          </w:p>
        </w:tc>
        <w:tc>
          <w:tcPr>
            <w:tcW w:type="dxa" w:w="3288"/>
            <w:vAlign w:val="top"/>
            <w:shd w:fill="F1F5F6"/>
          </w:tcPr>
          <w:p>
            <w:pPr>
              <w:spacing w:after="60" w:line="269" w:lineRule="auto"/>
            </w:pPr>
            <w:r>
              <w:rPr>
                <w:rFonts w:ascii="Arial" w:hAnsi="Arial"/>
                <w:b w:val="0"/>
                <w:color w:val="18233F"/>
                <w:sz w:val="20"/>
              </w:rPr>
              <w:t>Protect pupil operation and thinking; support handling only where needed. Ask what changed and what stayed the same before supplying a scientific word.</w:t>
            </w:r>
          </w:p>
        </w:tc>
      </w:tr>
      <w:tr>
        <w:trPr>
          <w:cantSplit/>
        </w:trPr>
        <w:tc>
          <w:tcPr>
            <w:tcW w:type="dxa" w:w="3288"/>
            <w:vAlign w:val="top"/>
            <w:shd w:fill="FFFFFF"/>
          </w:tcPr>
          <w:p>
            <w:pPr>
              <w:spacing w:after="60" w:line="269" w:lineRule="auto"/>
            </w:pPr>
            <w:r>
              <w:rPr>
                <w:rFonts w:ascii="Arial" w:hAnsi="Arial"/>
                <w:b w:val="0"/>
                <w:color w:val="18233F"/>
                <w:sz w:val="20"/>
              </w:rPr>
              <w:t>Independent · 12 min</w:t>
            </w:r>
          </w:p>
        </w:tc>
        <w:tc>
          <w:tcPr>
            <w:tcW w:type="dxa" w:w="3288"/>
            <w:vAlign w:val="top"/>
            <w:shd w:fill="FFFFFF"/>
          </w:tcPr>
          <w:p>
            <w:pPr>
              <w:spacing w:after="60" w:line="269" w:lineRule="auto"/>
            </w:pPr>
            <w:r>
              <w:rPr>
                <w:rFonts w:ascii="Arial" w:hAnsi="Arial"/>
                <w:b w:val="0"/>
                <w:color w:val="18233F"/>
                <w:sz w:val="20"/>
              </w:rPr>
              <w:t>Build an evidence-led comparison of embryonic stem cells, adult tissue stem cells and plant meristems, including one percentage calculation and one bounded application claim. Record: A three-way comparison, correct use of self-renewal/differentiation, one shown percentage calculation and a claim explicitly limited to the supplied evidence.</w:t>
            </w:r>
          </w:p>
        </w:tc>
        <w:tc>
          <w:tcPr>
            <w:tcW w:type="dxa" w:w="3288"/>
            <w:vAlign w:val="top"/>
            <w:shd w:fill="FFFFFF"/>
          </w:tcPr>
          <w:p>
            <w:pPr>
              <w:spacing w:after="60" w:line="269" w:lineRule="auto"/>
            </w:pPr>
            <w:r>
              <w:rPr>
                <w:rFonts w:ascii="Arial" w:hAnsi="Arial"/>
                <w:b w:val="0"/>
                <w:color w:val="18233F"/>
                <w:sz w:val="20"/>
              </w:rPr>
              <w:t>Protect independence. Accept equivalent evidence routes and scribe exact meaning. Prompt only as much as needed; fade as soon as the pupil continues.</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Compare embryonic and adult tissue stem cells using differentiation potential and one tissue role. Point to, read or explain the evidence you made.</w:t>
            </w:r>
          </w:p>
        </w:tc>
        <w:tc>
          <w:tcPr>
            <w:tcW w:type="dxa" w:w="3288"/>
            <w:vAlign w:val="top"/>
            <w:shd w:fill="F1F5F6"/>
          </w:tcPr>
          <w:p>
            <w:pPr>
              <w:spacing w:after="60" w:line="269" w:lineRule="auto"/>
            </w:pPr>
            <w:r>
              <w:rPr>
                <w:rFonts w:ascii="Arial" w:hAnsi="Arial"/>
                <w:b w:val="0"/>
                <w:color w:val="18233F"/>
                <w:sz w:val="20"/>
              </w:rPr>
              <w:t>Genuinely receive one final response and name back the Science heard or seen. Give one next move; the pupil edits or re-attempts on the existing work.</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Hinge answer: Embryonic stem cells can form many animal cell types, while many adult stem cells form a more limited tissue-related range.</w:t>
      </w:r>
    </w:p>
    <w:p>
      <w:r>
        <w:t>Correct. Source and differentiation potential differ; adult tissues and plant meristems still contain dividing stem-cell populations.</w:t>
      </w:r>
    </w:p>
    <w:p>
      <w:pPr>
        <w:pStyle w:val="Heading2"/>
      </w:pPr>
      <w:r>
        <w:t>Misconception repair</w:t>
      </w:r>
    </w:p>
    <w:p>
      <w:r>
        <w:t>Repaired. State exactly what differentiated, under which conditions, and which clinical questions remain unanswered.</w:t>
      </w:r>
    </w:p>
    <w:p>
      <w:pPr>
        <w:pStyle w:val="Heading2"/>
      </w:pPr>
      <w:r>
        <w:t>Guided checkpoint</w:t>
      </w:r>
    </w:p>
    <w:p>
      <w:r>
        <w:t>Correct. Source and differentiation potential differ; adult tissues and plant meristems still contain dividing stem-cell populations. Compare breadth of animal-cell outcomes, then keep the plant meristem in the plant context.</w:t>
      </w:r>
    </w:p>
    <w:p>
      <w:pPr>
        <w:pStyle w:val="Heading2"/>
      </w:pPr>
      <w:r>
        <w:t>Broad animal-cell range</w:t>
      </w:r>
    </w:p>
    <w:p>
      <w:r>
        <w:t>EMBRYONIC STEM CELLS. Embryonic: the evidence supports a broad animal-cell differentiation potential under tested conditions. Look for the early-embryo source and broad animal-cell outcomes.</w:t>
      </w:r>
    </w:p>
    <w:p>
      <w:pPr>
        <w:pStyle w:val="Heading2"/>
      </w:pPr>
      <w:r>
        <w:t>Early embryo source</w:t>
      </w:r>
    </w:p>
    <w:p>
      <w:r>
        <w:t>EMBRYONIC STEM CELLS. Embryonic: source identifies this stem-cell group, not a guaranteed clinical result. Classify first by source.</w:t>
      </w:r>
    </w:p>
    <w:p>
      <w:pPr>
        <w:pStyle w:val="Heading2"/>
      </w:pPr>
      <w:r>
        <w:t>Blood-cell replacement</w:t>
      </w:r>
    </w:p>
    <w:p>
      <w:r>
        <w:t>ADULT TISSUE STEM CELLS. Adult tissue: these stem cells maintain a tissue-related range of blood cells. The source is an adult tissue and the outcomes remain tissue-related.</w:t>
      </w:r>
    </w:p>
    <w:p>
      <w:pPr>
        <w:pStyle w:val="Heading2"/>
      </w:pPr>
      <w:r>
        <w:t>Skin maintenance</w:t>
      </w:r>
    </w:p>
    <w:p>
      <w:r>
        <w:t>ADULT TISSUE STEM CELLS. Adult tissue: self-renewal and differentiation support maintenance and repair. Use the adult tissue role: ongoing replacement.</w:t>
      </w:r>
    </w:p>
    <w:p>
      <w:pPr>
        <w:pStyle w:val="Heading2"/>
      </w:pPr>
      <w:r>
        <w:t>Root-tip growth</w:t>
      </w:r>
    </w:p>
    <w:p>
      <w:r>
        <w:t>PLANT MERISTEMS. Meristem: this plant growth region supplies new root cells. The root-tip and plant-growth clues identify a meristem.</w:t>
      </w:r>
    </w:p>
    <w:p>
      <w:pPr>
        <w:pStyle w:val="Heading2"/>
      </w:pPr>
      <w:r>
        <w:t>Shoot and leaf tissues</w:t>
      </w:r>
    </w:p>
    <w:p>
      <w:r>
        <w:t>PLANT MERISTEMS. Meristem: continued division supports new plant organs and specialised tissues. Keep plant growth and animal tissue repair in separate contexts.</w:t>
      </w:r>
    </w:p>
    <w:p>
      <w:pPr>
        <w:pStyle w:val="Heading2"/>
      </w:pPr>
      <w:r>
        <w:t>Plant clone potential</w:t>
      </w:r>
    </w:p>
    <w:p>
      <w:r>
        <w:t>PLANT MERISTEMS. Meristem: the evidence supports plant tissue-culture potential under controlled conditions, not automatic growth in any setting. The outcome is a new plant produced from plant growth tissue.</w:t>
      </w:r>
    </w:p>
    <w:p>
      <w:pPr>
        <w:pStyle w:val="Heading2"/>
      </w:pPr>
      <w:r>
        <w:t>Model limitation</w:t>
      </w:r>
    </w:p>
    <w:p>
      <w:r>
        <w:t>A branching diagram makes developmental choices look fixed and equal. Real differentiation depends on signals, gene activity and conditions; the model omits failure, cell death, timing and ethical questions reserved for the next sequence.</w:t>
      </w:r>
    </w:p>
    <w:p>
      <w:pPr>
        <w:pStyle w:val="Heading2"/>
      </w:pPr>
      <w:r>
        <w:t>Independent evidence</w:t>
      </w:r>
    </w:p>
    <w:p>
      <w:r>
        <w:t>A three-way comparison, correct use of self-renewal/differentiation, one shown percentage calculation and a claim explicitly limited to the supplied evidence.</w:t>
      </w:r>
    </w:p>
    <w:p>
      <w:r>
        <w:t>Supported: Sort six cards, complete one similarity-and-difference frame and calculate a percentage from a worked fraction. Use colour-coded source icons and the stem: Both can __. Unlike __, __ can __ under the tested conditions.</w:t>
      </w:r>
    </w:p>
    <w:p>
      <w:r>
        <w:t>Standard: Compare all three groups, calculate one outcome percentage and explain one biological role using evidence. Use COMPARE and CALCULATE separately; then add a sentence beginning The evidence does not show __.</w:t>
      </w:r>
    </w:p>
    <w:p>
      <w:r>
        <w:t>Stretch: Evaluate a claimed application by combining source, potential, quantitative outcome and limitations without moving into unsupported cure language. Distinguish laboratory differentiation, tissue function, treatment safety and patient benefit.</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7A5C9E"/>
          </w:tcPr>
          <w:p>
            <w:pPr>
              <w:spacing w:after="60" w:line="269" w:lineRule="auto"/>
            </w:pPr>
            <w:r>
              <w:rPr>
                <w:rFonts w:ascii="Arial" w:hAnsi="Arial"/>
                <w:b/>
                <w:color w:val="FFFFFF"/>
                <w:sz w:val="21"/>
              </w:rPr>
              <w:t>What the learner actually showed</w:t>
            </w:r>
          </w:p>
        </w:tc>
        <w:tc>
          <w:tcPr>
            <w:tcW w:type="dxa" w:w="4932"/>
            <w:vAlign w:val="top"/>
            <w:shd w:fill="7A5C9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SCI_L_W10L2_Stem_Cells_And_Meristems_Explore.html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W10L2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7A5C9E"/>
        <w:sz w:val="18"/>
      </w:rPr>
      <w:t>LAUNCH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7A5C9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7A5C9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7A5C9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7A5C9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