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Healthy choices and everyday risks</w:t>
      </w:r>
    </w:p>
    <w:p>
      <w:r>
        <w:rPr>
          <w:b w:val="0"/>
        </w:rPr>
        <w:t>These are model responses for fictional cases. They are not observations of a learner. Allow a different defensible answer when the reason and next step fit the facts.</w:t>
      </w:r>
    </w:p>
    <w:p>
      <w:pPr>
        <w:pStyle w:val="Heading1"/>
      </w:pPr>
      <w:r>
        <w:rPr>
          <w:b w:val="0"/>
        </w:rPr>
        <w:t>Case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2"/>
              </w:rPr>
              <w:t>Case</w:t>
            </w:r>
          </w:p>
        </w:tc>
        <w:tc>
          <w:tcPr>
            <w:tcW w:type="dxa" w:w="4320"/>
          </w:tcPr>
          <w:p>
            <w:pPr>
              <w:spacing w:after="80" w:before="60"/>
            </w:pPr>
            <w:r>
              <w:rPr>
                <w:b/>
                <w:sz w:val="22"/>
              </w:rPr>
              <w:t>Judgement and clue</w:t>
            </w:r>
          </w:p>
        </w:tc>
        <w:tc>
          <w:tcPr>
            <w:tcW w:type="dxa" w:w="4680"/>
          </w:tcPr>
          <w:p>
            <w:pPr>
              <w:spacing w:after="80" w:before="60"/>
            </w:pPr>
            <w:r>
              <w:rPr>
                <w:b/>
                <w:sz w:val="22"/>
              </w:rPr>
              <w:t>Possible next step</w:t>
            </w:r>
          </w:p>
        </w:tc>
      </w:tr>
      <w:tr>
        <w:trPr>
          <w:cantSplit/>
        </w:trPr>
        <w:tc>
          <w:tcPr>
            <w:tcW w:type="dxa" w:w="936"/>
          </w:tcPr>
          <w:p>
            <w:pPr>
              <w:spacing w:after="80" w:before="60"/>
            </w:pPr>
            <w:r>
              <w:rPr>
                <w:b w:val="0"/>
                <w:sz w:val="22"/>
              </w:rPr>
              <w:t>A</w:t>
            </w:r>
          </w:p>
        </w:tc>
        <w:tc>
          <w:tcPr>
            <w:tcW w:type="dxa" w:w="4320"/>
          </w:tcPr>
          <w:p>
            <w:pPr>
              <w:spacing w:after="80" w:before="60"/>
            </w:pPr>
            <w:r>
              <w:rPr>
                <w:b w:val="0"/>
                <w:sz w:val="22"/>
              </w:rPr>
              <w:t>Safer. Water is available to drink.</w:t>
            </w:r>
          </w:p>
        </w:tc>
        <w:tc>
          <w:tcPr>
            <w:tcW w:type="dxa" w:w="4680"/>
          </w:tcPr>
          <w:p>
            <w:pPr>
              <w:spacing w:after="80" w:before="60"/>
            </w:pPr>
            <w:r>
              <w:rPr>
                <w:b w:val="0"/>
                <w:sz w:val="22"/>
              </w:rPr>
              <w:t>Have a drink when needed.</w:t>
            </w:r>
          </w:p>
        </w:tc>
      </w:tr>
      <w:tr>
        <w:trPr>
          <w:cantSplit/>
        </w:trPr>
        <w:tc>
          <w:tcPr>
            <w:tcW w:type="dxa" w:w="936"/>
          </w:tcPr>
          <w:p>
            <w:pPr>
              <w:spacing w:after="80" w:before="60"/>
            </w:pPr>
            <w:r>
              <w:rPr>
                <w:b w:val="0"/>
                <w:sz w:val="22"/>
              </w:rPr>
              <w:t>B</w:t>
            </w:r>
          </w:p>
        </w:tc>
        <w:tc>
          <w:tcPr>
            <w:tcW w:type="dxa" w:w="4320"/>
          </w:tcPr>
          <w:p>
            <w:pPr>
              <w:spacing w:after="80" w:before="60"/>
            </w:pPr>
            <w:r>
              <w:rPr>
                <w:b w:val="0"/>
                <w:sz w:val="22"/>
              </w:rPr>
              <w:t>Risk. A lead crosses the walking route.</w:t>
            </w:r>
          </w:p>
        </w:tc>
        <w:tc>
          <w:tcPr>
            <w:tcW w:type="dxa" w:w="4680"/>
          </w:tcPr>
          <w:p>
            <w:pPr>
              <w:spacing w:after="80" w:before="60"/>
            </w:pPr>
            <w:r>
              <w:rPr>
                <w:b w:val="0"/>
                <w:sz w:val="22"/>
              </w:rPr>
              <w:t>Keep clear and tell an adult.</w:t>
            </w:r>
          </w:p>
        </w:tc>
      </w:tr>
      <w:tr>
        <w:trPr>
          <w:cantSplit/>
        </w:trPr>
        <w:tc>
          <w:tcPr>
            <w:tcW w:type="dxa" w:w="936"/>
          </w:tcPr>
          <w:p>
            <w:pPr>
              <w:spacing w:after="80" w:before="60"/>
            </w:pPr>
            <w:r>
              <w:rPr>
                <w:b w:val="0"/>
                <w:sz w:val="22"/>
              </w:rPr>
              <w:t>C</w:t>
            </w:r>
          </w:p>
        </w:tc>
        <w:tc>
          <w:tcPr>
            <w:tcW w:type="dxa" w:w="4320"/>
          </w:tcPr>
          <w:p>
            <w:pPr>
              <w:spacing w:after="80" w:before="60"/>
            </w:pPr>
            <w:r>
              <w:rPr>
                <w:b w:val="0"/>
                <w:sz w:val="22"/>
              </w:rPr>
              <w:t>Need more information. The condition of the bike is unknown.</w:t>
            </w:r>
          </w:p>
        </w:tc>
        <w:tc>
          <w:tcPr>
            <w:tcW w:type="dxa" w:w="4680"/>
          </w:tcPr>
          <w:p>
            <w:pPr>
              <w:spacing w:after="80" w:before="60"/>
            </w:pPr>
            <w:r>
              <w:rPr>
                <w:b w:val="0"/>
                <w:sz w:val="22"/>
              </w:rPr>
              <w:t>Ask an adult to check the bike and safe place to ride.</w:t>
            </w:r>
          </w:p>
        </w:tc>
      </w:tr>
      <w:tr>
        <w:trPr>
          <w:cantSplit/>
        </w:trPr>
        <w:tc>
          <w:tcPr>
            <w:tcW w:type="dxa" w:w="936"/>
          </w:tcPr>
          <w:p>
            <w:pPr>
              <w:spacing w:after="80" w:before="60"/>
            </w:pPr>
            <w:r>
              <w:rPr>
                <w:b w:val="0"/>
                <w:sz w:val="22"/>
              </w:rPr>
              <w:t>D</w:t>
            </w:r>
          </w:p>
        </w:tc>
        <w:tc>
          <w:tcPr>
            <w:tcW w:type="dxa" w:w="4320"/>
          </w:tcPr>
          <w:p>
            <w:pPr>
              <w:spacing w:after="80" w:before="60"/>
            </w:pPr>
            <w:r>
              <w:rPr>
                <w:b w:val="0"/>
                <w:sz w:val="22"/>
              </w:rPr>
              <w:t>Safer. The game suits Lee and the space has been checked.</w:t>
            </w:r>
          </w:p>
        </w:tc>
        <w:tc>
          <w:tcPr>
            <w:tcW w:type="dxa" w:w="4680"/>
          </w:tcPr>
          <w:p>
            <w:pPr>
              <w:spacing w:after="80" w:before="60"/>
            </w:pPr>
            <w:r>
              <w:rPr>
                <w:b w:val="0"/>
                <w:sz w:val="22"/>
              </w:rPr>
              <w:t>Follow the rules and pause if needed.</w:t>
            </w:r>
          </w:p>
        </w:tc>
      </w:tr>
      <w:tr>
        <w:trPr>
          <w:cantSplit/>
        </w:trPr>
        <w:tc>
          <w:tcPr>
            <w:tcW w:type="dxa" w:w="936"/>
          </w:tcPr>
          <w:p>
            <w:pPr>
              <w:spacing w:after="80" w:before="60"/>
            </w:pPr>
            <w:r>
              <w:rPr>
                <w:b w:val="0"/>
                <w:sz w:val="22"/>
              </w:rPr>
              <w:t>E</w:t>
            </w:r>
          </w:p>
        </w:tc>
        <w:tc>
          <w:tcPr>
            <w:tcW w:type="dxa" w:w="4320"/>
          </w:tcPr>
          <w:p>
            <w:pPr>
              <w:spacing w:after="80" w:before="60"/>
            </w:pPr>
            <w:r>
              <w:rPr>
                <w:b w:val="0"/>
                <w:sz w:val="22"/>
              </w:rPr>
              <w:t>Risk. Staying up all night leaves no time for sleep.</w:t>
            </w:r>
          </w:p>
        </w:tc>
        <w:tc>
          <w:tcPr>
            <w:tcW w:type="dxa" w:w="4680"/>
          </w:tcPr>
          <w:p>
            <w:pPr>
              <w:spacing w:after="80" w:before="60"/>
            </w:pPr>
            <w:r>
              <w:rPr>
                <w:b w:val="0"/>
                <w:sz w:val="22"/>
              </w:rPr>
              <w:t>Stop the game and follow a rest routine.</w:t>
            </w:r>
          </w:p>
        </w:tc>
      </w:tr>
      <w:tr>
        <w:trPr>
          <w:cantSplit/>
        </w:trPr>
        <w:tc>
          <w:tcPr>
            <w:tcW w:type="dxa" w:w="936"/>
          </w:tcPr>
          <w:p>
            <w:pPr>
              <w:spacing w:after="80" w:before="60"/>
            </w:pPr>
            <w:r>
              <w:rPr>
                <w:b w:val="0"/>
                <w:sz w:val="22"/>
              </w:rPr>
              <w:t>F</w:t>
            </w:r>
          </w:p>
        </w:tc>
        <w:tc>
          <w:tcPr>
            <w:tcW w:type="dxa" w:w="4320"/>
          </w:tcPr>
          <w:p>
            <w:pPr>
              <w:spacing w:after="80" w:before="60"/>
            </w:pPr>
            <w:r>
              <w:rPr>
                <w:b w:val="0"/>
                <w:sz w:val="22"/>
              </w:rPr>
              <w:t>Need more information. We do not know what is in the food.</w:t>
            </w:r>
          </w:p>
        </w:tc>
        <w:tc>
          <w:tcPr>
            <w:tcW w:type="dxa" w:w="4680"/>
          </w:tcPr>
          <w:p>
            <w:pPr>
              <w:spacing w:after="80" w:before="60"/>
            </w:pPr>
            <w:r>
              <w:rPr>
                <w:b w:val="0"/>
                <w:sz w:val="22"/>
              </w:rPr>
              <w:t>Pause and ask the adult before choosing it.</w:t>
            </w:r>
          </w:p>
        </w:tc>
      </w:tr>
    </w:tbl>
    <w:p>
      <w:pPr>
        <w:pStyle w:val="Heading1"/>
      </w:pPr>
      <w:r>
        <w:rPr>
          <w:b w:val="0"/>
        </w:rPr>
        <w:t>Teacher model and hinge</w:t>
      </w:r>
    </w:p>
    <w:p>
      <w:r>
        <w:rPr>
          <w:b w:val="0"/>
        </w:rPr>
        <w:t>Sam sees a wet patch on the floor. Clue: the floor is wet. Risk: someone could slip. Sam stops and keeps clear. Sam tells the adult nearby. The adult deals with the spill.</w:t>
      </w:r>
    </w:p>
    <w:p>
      <w:r>
        <w:rPr>
          <w:b w:val="0"/>
        </w:rPr>
        <w:t>B. The wet floor could cause a slip. Keeping clear and telling the adult reduces the risk. A and C add to it.</w:t>
      </w:r>
    </w:p>
    <w:p>
      <w:pPr>
        <w:pStyle w:val="Heading1"/>
      </w:pPr>
      <w:r>
        <w:rPr>
          <w:b w:val="0"/>
        </w:rPr>
        <w:t>Check understanding</w:t>
      </w:r>
    </w:p>
    <w:p>
      <w:r>
        <w:rPr>
          <w:b w:val="0"/>
        </w:rPr>
        <w:t>Ask: What is the clue? What could happen? What can the person do next? Give thinking time and offer a quiet response. Record an actual reason, not just a correct letter or a completed sort.</w:t>
      </w:r>
    </w:p>
    <w:p>
      <w:r>
        <w:br w:type="page"/>
      </w:r>
    </w:p>
    <w:p>
      <w:pPr>
        <w:pStyle w:val="Heading1"/>
      </w:pPr>
      <w:r>
        <w:rPr>
          <w:b w:val="0"/>
        </w:rPr>
        <w:t>Feedback and safe teaching</w:t>
      </w:r>
    </w:p>
    <w:p>
      <w:r>
        <w:rPr>
          <w:b w:val="0"/>
        </w:rPr>
        <w:t>Case A: Healthy choice; do not assess an individual diet or health need.</w:t>
      </w:r>
    </w:p>
    <w:p>
      <w:r>
        <w:rPr>
          <w:b w:val="0"/>
        </w:rPr>
        <w:t>Case B: Do not ask a pupil to move electrical equipment.</w:t>
      </w:r>
    </w:p>
    <w:p>
      <w:r>
        <w:rPr>
          <w:b w:val="0"/>
        </w:rPr>
        <w:t>Case C: A check and suitable protection are needed before riding.</w:t>
      </w:r>
    </w:p>
    <w:p>
      <w:r>
        <w:rPr>
          <w:b w:val="0"/>
        </w:rPr>
        <w:t>Case D: Inclusive movement can support wellbeing. Safer does not mean no possible risk.</w:t>
      </w:r>
    </w:p>
    <w:p>
      <w:r>
        <w:rPr>
          <w:b w:val="0"/>
        </w:rPr>
        <w:t>Case E: Keep the discussion fictional. Do not judge home routines.</w:t>
      </w:r>
    </w:p>
    <w:p>
      <w:r>
        <w:rPr>
          <w:b w:val="0"/>
        </w:rPr>
        <w:t>Case F: No tasting or individual allergy disclosure. Adults follow local food arrangements.</w:t>
      </w:r>
    </w:p>
    <w:p>
      <w:pPr>
        <w:pStyle w:val="Heading1"/>
      </w:pPr>
      <w:r>
        <w:rPr>
          <w:b w:val="0"/>
        </w:rPr>
        <w:t>Common misunderstandings</w:t>
      </w:r>
    </w:p>
    <w:p>
      <w:r>
        <w:rPr>
          <w:b w:val="0"/>
        </w:rPr>
        <w:t>A familiar person, a colourful icon or a checked space does not make every later action safe. “Need more information” is useful when a missing fact matters; it is not a reason to try the risky action. “Safer” recognises reduced risk without claiming certainty.</w:t>
      </w:r>
    </w:p>
    <w:p>
      <w:r>
        <w:rPr>
          <w:b w:val="0"/>
        </w:rPr>
        <w:t>A healthy choice can include water, rest, a varied diet or movement that suits the person. Avoid calorie targets, weight talk, good/bad food labels or assumptions about a family’s resources. No pupil needs to disclose a health condition.</w:t>
      </w:r>
    </w:p>
    <w:p>
      <w:pPr>
        <w:pStyle w:val="Heading1"/>
      </w:pPr>
      <w:r>
        <w:rPr>
          <w:b w:val="0"/>
        </w:rPr>
        <w:t>Response and next teaching step</w:t>
      </w:r>
    </w:p>
    <w:p>
      <w:r>
        <w:rPr>
          <w:b w:val="0"/>
        </w:rPr>
        <w:t>If the clue is vague, point to the case and ask which words helped. If the step increases risk, re-model a pause and an adult check. If a learner is ready, ask what extra fact would change the answer. Preserve the learner’s own revised response, the adult’s support and the next practice need.</w:t>
      </w:r>
    </w:p>
    <w:p>
      <w:pPr>
        <w:pStyle w:val="Heading1"/>
      </w:pPr>
      <w:r>
        <w:rPr>
          <w:b w:val="0"/>
        </w:rPr>
        <w:t>Private help</w:t>
      </w:r>
    </w:p>
    <w:p>
      <w:r>
        <w:rPr>
          <w:b w:val="0"/>
        </w:rPr>
        <w:t>Identify the real school support route before the lesson. Listen to concerns, do not investigate in class and never promise secrecy. Follow local safeguarding procedures and keep those records separate. Use fictional alternatives and a right to pass. See the planner and FACTS_LEDGER.md for sources.</w:t>
      </w:r>
    </w:p>
    <w:p>
      <w:pPr>
        <w:pStyle w:val="Heading1"/>
      </w:pPr>
      <w:r>
        <w:rPr>
          <w:b w:val="0"/>
        </w:rPr>
        <w:t>Evidence boundary</w:t>
      </w:r>
    </w:p>
    <w:p>
      <w:r>
        <w:rPr>
          <w:b w:val="0"/>
        </w:rPr>
        <w:t>GROW-PSHE-W1-E1 records local formative learning. The source scheme’s December assessment remains in December. This pack supplies no award criterion judgement or automatic completion claim.</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PSHE-GROW-A2-W01</dc:subject>
  <dc:creator/>
  <cp:keywords/>
  <dc:description/>
  <cp:lastModifiedBy/>
  <cp:revision>1</cp:revision>
  <dcterms:created xsi:type="dcterms:W3CDTF">2026-10-24T00:00:00Z</dcterms:created>
  <dcterms:modified xsi:type="dcterms:W3CDTF">2026-10-24T00:00:00Z</dcterms:modified>
  <cp:category/>
</cp:coreProperties>
</file>