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 GROW · Autumn 2</w:t>
      </w:r>
    </w:p>
    <w:p>
      <w:r>
        <w:rPr>
          <w:b/>
        </w:rPr>
        <w:t xml:space="preserve">What we teach and why — </w:t>
      </w:r>
      <w:r>
        <w:t>Space, climate change &amp; consolidation (Y5/6). Enquiry: How can we use observations and evidence to explain space, climate change &amp; consolidation? Science develops explanations of the natural world, safe investigation, measurement and critical use of evidence, helping pupils make informed decisions about health, materials and the environment.</w:t>
      </w:r>
    </w:p>
    <w:p>
      <w:r>
        <w:rPr>
          <w:b/>
        </w:rPr>
        <w:t xml:space="preserve">Weekly outcomes — </w:t>
      </w:r>
      <w:r>
        <w:t>W01: Explain day and night and the apparent movement of the Sun.</w:t>
        <w:br/>
        <w:t>W02: Describe the Sun, Earth and Moon as approximately spherical bodies.</w:t>
        <w:br/>
        <w:t>W03: Research and present findings about the Solar System (ICT).</w:t>
        <w:br/>
        <w:t>W04: Describe causes and effects of global warming and how to reduce our impact.</w:t>
        <w:br/>
        <w:t>W05: Consolidate forces, space and climate; answer scientific questions.</w:t>
        <w:br/>
        <w:t>W06: Consolidate and revisit key ideas through investigation.</w:t>
        <w:br/>
        <w:t>W07: Review and evidence autumn science (Entry Level Science / UAS).</w:t>
      </w:r>
    </w:p>
    <w:p>
      <w:r>
        <w:rPr>
          <w:b/>
        </w:rPr>
        <w:t xml:space="preserve">Why it is right for our pupils — </w:t>
      </w:r>
      <w:r>
        <w:t>The bridge between nurture and formal learning. Pupils can access structured groups but need meaningful, practical learning. The policy’s indicative reading band is 8–11. Scaffold vocabulary and recording, then fade support as independence grows; review placement using the wider profile. Predictable routine, an early achievable task, response-mode choice, no cold calling and a quiet alternative support re-engagement.</w:t>
      </w:r>
    </w:p>
    <w:p>
      <w:r>
        <w:rPr>
          <w:b/>
        </w:rPr>
        <w:t xml:space="preserve">Qualification and entry — </w:t>
      </w:r>
      <w:r>
        <w:t>White Rose Science Year 5/6 spine, Year 3/4 gap-fill and KS3 stretch. The pathway guidance names Pearson Edexcel Entry Level Certificate in Science 8939 (E1–E3), with AQA UAS. SoW floor: Entry 1 with support; selected E1/E2/E3 outcome and registration: staff to confirm. Wider pathway AQA Entry Level routes do not replace the named science route. Wider pathway: Functional Skills Entry–Level 1; AQA Entry Level Certificates; ASDAN Short Courses; AQA Unit Awards; Arts Award Explore/Bronze. These are pathway opportunities, not automatic awards for completing this subject. Exact individual entry/unit is for staff to confirm.</w:t>
      </w:r>
    </w:p>
    <w:p>
      <w:r>
        <w:rPr>
          <w:b/>
        </w:rPr>
        <w:t xml:space="preserve">Why this route — </w:t>
      </w:r>
      <w:r>
        <w:t>Practical portfolio evidence connects knowledge with functional communication, data use and independence, providing a supported bridge towards LAUNCH.</w:t>
      </w:r>
    </w:p>
    <w:p>
      <w:r>
        <w:rPr>
          <w:b/>
        </w:rPr>
        <w:t xml:space="preserve">Next step — </w:t>
      </w:r>
      <w:r>
        <w:t>Enquiry, teamwork, evidence-based decisions and presenting findings support vocational tasters, employer encounters, community projects and more formal study. Gatsby 4: connect today’s subject skills with relevant work and further-study roles.</w:t>
      </w:r>
    </w:p>
    <w:p>
      <w:r>
        <w:rPr>
          <w:b/>
        </w:rPr>
        <w:t xml:space="preserve">Evidence of impact — </w:t>
      </w:r>
      <w:r>
        <w:t>F: enquiry checks. S: space/climate assessment (Dec) + Entry Level/UAS. Books and staff observation capture the actual individual contribution, support and response to feedback. Feed attendance/engagement, behaviour, qualifications and destinations measures as categories; no figures or impact claims are supplied.</w:t>
      </w:r>
    </w:p>
    <w:p>
      <w:r>
        <w:rPr>
          <w:b/>
        </w:rPr>
        <w:t xml:space="preserve">The progression chain — </w:t>
      </w:r>
      <w:r>
        <w:t>Re-engage: predictable access and early success. Attendance and engagement: build and review participation. Meaningful qualifications: map actual evidence to confirmed criteria. Skills for adulthood: practise safe choices, communication and independence. Positive destinations: connect learning to an appropriate next step. Reduce NEET: sustain participation in education, employment or training through reviewed transition support.</w:t>
      </w:r>
    </w:p>
    <w:p>
      <w:r>
        <w:t>Sources: curriculum pathway guidance and the unit and weekly plans supplied for this series.</w:t>
      </w:r>
    </w:p>
    <w:sectPr w:rsidR="00FC693F" w:rsidRPr="0006063C" w:rsidSect="00034616">
      <w:headerReference w:type="default" r:id="rId9"/>
      <w:footerReference w:type="default" r:id="rId10"/>
      <w:pgSz w:w="11906" w:h="16838"/>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left"/>
    </w:pPr>
    <w:r>
      <w:rPr>
        <w:rFonts w:ascii="Arial" w:hAnsi="Arial"/>
        <w:sz w:val="12"/>
      </w:rPr>
      <w:t>Made by Matt · madebymatt.uk · © Matt Roper · CC BY-NC-SA 4.0: free for classroom use, share and adapt with credit, no resale · v9 · 25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251658240" behindDoc="0" locked="0" layoutInCell="1" allowOverlap="1">
          <wp:simplePos x="0" y="0"/>
          <wp:positionH relativeFrom="page">
            <wp:posOffset>6876288</wp:posOffset>
          </wp:positionH>
          <wp:positionV relativeFrom="page">
            <wp:posOffset>164592</wp:posOffset>
          </wp:positionV>
          <wp:extent cx="320040" cy="320040"/>
          <wp:wrapNone/>
          <wp:docPr id="1" name="Picture 1" descr="Made by Matt" title="Made by Matt"/>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approved-mark.jpg"/>
                  <pic:cNvPicPr/>
                </pic:nvPicPr>
                <pic:blipFill>
                  <a:blip r:embed="rId1"/>
                  <a:stretch>
                    <a:fillRect/>
                  </a:stretch>
                </pic:blipFill>
                <pic:spPr>
                  <a:xfrm>
                    <a:off x="0" y="0"/>
                    <a:ext cx="320040" cy="32004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DejaVu Sans" w:hAnsi="DejaVu San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