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Science · LAUNCH · Autumn 2</w:t>
      </w:r>
    </w:p>
    <w:p>
      <w:r>
        <w:rPr>
          <w:b/>
        </w:rPr>
        <w:t xml:space="preserve">What we teach and why — </w:t>
      </w:r>
      <w:r>
        <w:t>Topic 2, Cells &amp; control; Topic 3, Genetics (intro). Enquiry: How can we use observations and evidence to explain topic 2, cells &amp; control; topic 3, genetics? Science develops explanations of the natural world, safe investigation, measurement and critical use of evidence, helping pupils make informed decisions about health, materials and the environment.</w:t>
      </w:r>
    </w:p>
    <w:p>
      <w:r>
        <w:rPr>
          <w:b/>
        </w:rPr>
        <w:t xml:space="preserve">Weekly outcomes — </w:t>
      </w:r>
      <w:r>
        <w:t>W01: Describe mitosis &amp; the cell cycle (animation).</w:t>
        <w:br/>
        <w:t>W02: Explain growth &amp; stem cells.</w:t>
        <w:br/>
        <w:t>W03: Stem-cell ethics discussion (links RE/PSHE).</w:t>
        <w:br/>
        <w:t>W04: Describe DNA, genes &amp; chromosomes.</w:t>
        <w:br/>
        <w:t>W05: Complete a genetic cross (digital Punnett square).</w:t>
        <w:br/>
        <w:t>W06: Research a genetic condition online; present.</w:t>
        <w:br/>
        <w:t>W07: Topics 2 to 3 assessment (Dec).</w:t>
      </w:r>
    </w:p>
    <w:p>
      <w:r>
        <w:rPr>
          <w:b/>
        </w:rPr>
        <w:t xml:space="preserve">Why it is right for our pupils — </w:t>
      </w:r>
      <w:r>
        <w:t>For pupils ready for formal qualifications with planned therapeutic support, access arrangements and reasonable adjustments. The policy’s indicative reading profile is 11+ and access to GCSE/Functional Skills reading. Regulation, relational check-ins, executive-function support and exam stamina remain part of teaching. Predictable routine, an early achievable task, response-mode choice, no cold calling and a quiet alternative support re-engagement.</w:t>
      </w:r>
    </w:p>
    <w:p>
      <w:r>
        <w:rPr>
          <w:b/>
        </w:rPr>
        <w:t xml:space="preserve">Qualification and entry — </w:t>
      </w:r>
      <w:r>
        <w:t>Core: Pearson Edexcel GCSE Biology 1BI0 / Combined Science 1SC0 Foundation. The SoW also lists optional IGCSE Biology 4BI1, Chemistry 4CH1 and Physics 4PH1 for eligible pupils under a separate programme. Biology 1BI0 Foundation is the named core route; Biology versus Combined Science entry, full specification coverage, tier and series: staff to confirm. Optional IGCSE entry is not implied. Wider pathway: GCSE; Functional Skills Level 1–Level 2; BTEC; ASDAN CoPE. The policy identifies these as pathway routes; the subject SoW determines which route this teaching actually feeds. Exact individual entry/unit is for staff to confirm.</w:t>
      </w:r>
    </w:p>
    <w:p>
      <w:r>
        <w:rPr>
          <w:b/>
        </w:rPr>
        <w:t xml:space="preserve">Why this route — </w:t>
      </w:r>
      <w:r>
        <w:t>Recognised qualifications and explicit application of knowledge connect sustained subject learning to suitable further study, training and employment.</w:t>
      </w:r>
    </w:p>
    <w:p>
      <w:r>
        <w:rPr>
          <w:b/>
        </w:rPr>
        <w:t xml:space="preserve">Next step — </w:t>
      </w:r>
      <w:r>
        <w:t>Source evaluation, quantitative reasoning, self-advocacy and sustained independent work prepare pupils for college, apprenticeships, work experience or a supported internship, as appropriate. Gatsby 4: connect today’s subject skills with relevant work and further-study roles.</w:t>
      </w:r>
    </w:p>
    <w:p>
      <w:r>
        <w:rPr>
          <w:b/>
        </w:rPr>
        <w:t xml:space="preserve">Evidence of impact — </w:t>
      </w:r>
      <w:r>
        <w:t>F: model-building checks, quick recall tests.  S: Topics 2 to 3 assessment (Dec). Books and staff observation capture the actual individual contribution, support and response to feedback. Feed attendance/engagement, behaviour, qualifications and destinations measures as categories; no figures or impact claims are supplied.</w:t>
      </w:r>
    </w:p>
    <w:p>
      <w:r>
        <w:rPr>
          <w:b/>
        </w:rPr>
        <w:t xml:space="preserve">The progression chain — </w:t>
      </w:r>
      <w:r>
        <w:t>Re-engage: predictable access and early success. Attendance and engagement: build and review participation. Meaningful qualifications: map actual evidence to confirmed criteria. Skills for adulthood: practise safe choices, communication and independence. Positive destinations: connect learning to an appropriate next step. Reduce NEET: sustain participation in education, employment or training through reviewed transition support.</w:t>
      </w:r>
    </w:p>
    <w:p>
      <w:r>
        <w:t>Sources: curriculum pathway guidance and the unit and weekly plans supplied for this series.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