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Belonging Briefing</w:t>
      </w:r>
    </w:p>
    <w:p>
      <w:pPr>
        <w:pStyle w:val="Subtitle"/>
      </w:pPr>
      <w:r>
        <w:t>GROW · Humanities · 40 minutes</w:t>
      </w:r>
    </w:p>
    <w:p>
      <w:r>
        <w:t>I can present a concise claim, mapped example, source evidence, qualification and belonging explanation.</w:t>
      </w:r>
    </w:p>
    <w:p>
      <w:r>
        <w:t>Name: __________________________    Date: ______________</w:t>
      </w:r>
    </w:p>
    <w:p>
      <w:r>
        <w:t>You may write, type, say, sign, point or direct a partner. An adult can read the words and record your exact response. Keep the choice and explanation your own.</w:t>
      </w:r>
    </w:p>
    <w:p>
      <w:pPr>
        <w:pStyle w:val="Heading2"/>
      </w:pPr>
      <w:r>
        <w:t>We do · make a choice and give a reason</w:t>
      </w:r>
    </w:p>
    <w:p>
      <w:pPr/>
      <w:r>
        <w:t>What should the named audience do before giving praise or correction?</w:t>
      </w:r>
    </w:p>
    <w:p>
      <w:pPr>
        <w:pStyle w:val="ListBullet"/>
      </w:pPr>
      <w:r>
        <w:t>Restate the enquiry, claim, evidence and limitation in their own words.</w:t>
      </w:r>
    </w:p>
    <w:p>
      <w:pPr>
        <w:pStyle w:val="ListBullet"/>
      </w:pPr>
      <w:r>
        <w:t>Vote for the most confident speaker.</w:t>
      </w:r>
    </w:p>
    <w:p>
      <w:pPr>
        <w:pStyle w:val="ListBullet"/>
      </w:pPr>
      <w:r>
        <w:t>Decide whether the work has passed a UAS unit.</w:t>
      </w:r>
    </w:p>
    <w:p>
      <w:pPr>
        <w:keepNext/>
      </w:pPr>
      <w:r>
        <w:t>My choice and the evidence I used:</w:t>
      </w:r>
    </w:p>
    <w:p>
      <w:pPr>
        <w:keepNext/>
        <w:spacing w:after="0" w:line="240" w:lineRule="auto"/>
        <w:pBdr>
          <w:bottom w:val="single" w:sz="3" w:color="D6DFE4" w:space="1"/>
        </w:pBdr>
      </w:pPr>
      <w:r>
        <w:rPr>
          <w:sz w:val="40"/>
        </w:rPr>
        <w:t xml:space="preserve"> </w:t>
      </w:r>
    </w:p>
    <w:p>
      <w:pPr>
        <w:keepNext w:val="0"/>
        <w:spacing w:after="0" w:line="240" w:lineRule="auto"/>
        <w:pBdr>
          <w:bottom w:val="single" w:sz="3" w:color="D6DFE4" w:space="1"/>
        </w:pBdr>
      </w:pPr>
      <w:r>
        <w:rPr>
          <w:sz w:val="40"/>
        </w:rPr>
        <w:t xml:space="preserve"> </w:t>
      </w:r>
    </w:p>
    <w:p>
      <w:pPr>
        <w:pStyle w:val="Heading1"/>
        <w:pageBreakBefore/>
      </w:pPr>
      <w:r>
        <w:t>Resources and independent record</w:t>
      </w:r>
    </w:p>
    <w:p>
      <w:pPr>
        <w:pStyle w:val="Heading2"/>
      </w:pPr>
      <w:r>
        <w:t>GROW Humanities · Week 13</w:t>
      </w:r>
    </w:p>
    <w:p>
      <w:pPr/>
      <w:r>
        <w:t>40 minutes Autumn 2 · Week 6 · GROW Weekly – Autumn B58:C58 Name: ____________________ Date: __________</w:t>
      </w:r>
    </w:p>
    <w:p>
      <w:pPr/>
      <w:r>
        <w:t>Enquiry</w:t>
      </w:r>
    </w:p>
    <w:p>
      <w:pPr/>
      <w:r>
        <w:t>How can I communicate a careful map-and-source finding so an audience can restate it accurately?</w:t>
      </w:r>
    </w:p>
    <w:p>
      <w:pPr/>
      <w:r>
        <w:t>Independent mission</w:t>
      </w:r>
    </w:p>
    <w:p>
      <w:pPr/>
      <w:r>
        <w:t>Prepare and deliver a 60–90 second Belonging Briefing to the named audience. Include claim, mapped example, two source details, comparison or explanation, limitation and one evidence-led resource/access recommendation.</w:t>
      </w:r>
    </w:p>
    <w:p>
      <w:pPr/>
      <w:r>
        <w:t>Supported route</w:t>
      </w:r>
    </w:p>
    <w:p>
      <w:pPr/>
      <w:r>
        <w:t>Use six cue cards and an agreed response mode; audience records an exact restatement.</w:t>
      </w:r>
    </w:p>
    <w:p>
      <w:pPr/>
      <w:r>
        <w:t>Prompt frame: My claim is ____. The map shows ____. Source ____ says ____. Source ____ says ____. This may support belonging because ____. It cannot prove ____.</w:t>
      </w:r>
    </w:p>
    <w:p>
      <w:pPr/>
      <w:r>
        <w:t>Standard route</w:t>
      </w:r>
    </w:p>
    <w:p>
      <w:pPr/>
      <w:r>
        <w:t>Deliver a coherent briefing and answer one evidence question without losing the qualification.</w:t>
      </w:r>
    </w:p>
    <w:p>
      <w:pPr/>
      <w:r>
        <w:t>Method: Claim → map → evidence A/B → link/explanation → limitation → recommendation.</w:t>
      </w:r>
    </w:p>
    <w:p>
      <w:pPr/>
      <w:r>
        <w:t>Stretch route</w:t>
      </w:r>
    </w:p>
    <w:p>
      <w:pPr/>
      <w:r>
        <w:t>Adapt the briefing to a second audience or defend the claim against a changed-scale/source-perspective challenge.</w:t>
      </w:r>
    </w:p>
    <w:p>
      <w:pPr/>
      <w:r>
        <w:t>Method: Audience/register change → challenge → defended or revised judgement.</w:t>
      </w:r>
    </w:p>
    <w:p>
      <w:pPr>
        <w:pStyle w:val="Heading2"/>
      </w:pPr>
      <w:r>
        <w:t>Briefing evidence and plan</w:t>
      </w:r>
    </w:p>
    <w:p>
      <w:pPr/>
      <w:r>
        <w:t>A · London</w:t>
      </w:r>
    </w:p>
    <w:p>
      <w:pPr/>
      <w:r>
        <w:t>B · Beijing</w:t>
      </w:r>
    </w:p>
    <w:p>
      <w:pPr/>
      <w:r>
        <w:t>C · US cities</w:t>
      </w:r>
    </w:p>
    <w:p>
      <w:pPr/>
      <w:r>
        <w:t>D · Karlsruhe</w:t>
      </w:r>
    </w:p>
    <w:p>
      <w:pPr/>
      <w:r>
        <w:t>E · Pacific</w:t>
      </w:r>
    </w:p>
    <w:p>
      <w:pPr/>
      <w:r>
        <w:t>Constructed locator—not to scale or distribution evidence.</w:t>
      </w:r>
    </w:p>
    <w:p>
      <w:pPr/>
      <w:r>
        <w:t>BAPS-LDN · community event account · adapted factual note: BAPS Shri Swaminarayan Mandir in London says its 12 November 2023 Diwali event brought together thousands from the local community and further afield. It describes hope, light and goodwill, Sharda Pujan, prayers, food, service and community participation. One London Swaminarayan Hindu institution and one year; practice varies.</w:t>
      </w:r>
    </w:p>
    <w:p>
      <w:pPr/>
      <w:r>
        <w:t>JML · museum object record · adapted factual note: Jewish Museum London object 1474.11, photographed by Sarah Friedmann, documents members of Milton Keynes and District Reform lighting Hanukah candles. The catalogue stresses that Jewish belief and practice vary. One photograph cannot show every participant, meaning or setting.</w:t>
      </w:r>
    </w:p>
    <w:p>
      <w:pPr/>
      <w:r>
        <w:t>Named audience before delivery</w:t>
      </w:r>
    </w:p>
    <w:p>
      <w:pPr/>
      <w:r>
        <w:t>Receiver/role: ____________________ Why this audience: ____________________ Access need: ____________________</w:t>
      </w:r>
    </w:p>
    <w:p>
      <w:pPr>
        <w:keepNext/>
      </w:pPr>
      <w:r>
        <w:t>1 · Claim</w:t>
      </w:r>
    </w:p>
    <w:p>
      <w:pPr>
        <w:keepNext/>
        <w:spacing w:after="0" w:line="240" w:lineRule="auto"/>
        <w:pBdr>
          <w:bottom w:val="single" w:sz="3" w:color="D6DFE4" w:space="1"/>
        </w:pBdr>
      </w:pPr>
      <w:r>
        <w:rPr>
          <w:sz w:val="40"/>
        </w:rPr>
        <w:t xml:space="preserve"> </w:t>
      </w:r>
    </w:p>
    <w:p>
      <w:pPr>
        <w:keepNext w:val="0"/>
        <w:spacing w:after="0" w:line="240" w:lineRule="auto"/>
        <w:pBdr>
          <w:bottom w:val="single" w:sz="3" w:color="D6DFE4" w:space="1"/>
        </w:pBdr>
      </w:pPr>
      <w:r>
        <w:rPr>
          <w:sz w:val="40"/>
        </w:rPr>
        <w:t xml:space="preserve"> </w:t>
      </w:r>
    </w:p>
    <w:p>
      <w:pPr/>
      <w:r>
        <w:t>2 · Mapped example</w:t>
      </w:r>
    </w:p>
    <w:p>
      <w:pPr/>
      <w:r>
        <w:t>3 · Source A + B</w:t>
      </w:r>
    </w:p>
    <w:p>
      <w:pPr/>
      <w:r>
        <w:t>4 · Explanation</w:t>
      </w:r>
    </w:p>
    <w:p>
      <w:pPr/>
      <w:r>
        <w:t>5 · Limitation</w:t>
      </w:r>
    </w:p>
    <w:p>
      <w:pPr/>
      <w:r>
        <w:t>6 · Recommendation</w:t>
      </w:r>
    </w:p>
    <w:p>
      <w:pPr>
        <w:pStyle w:val="Heading2"/>
      </w:pPr>
      <w:r>
        <w:t>Delivery, reception and Influence</w:t>
      </w:r>
    </w:p>
    <w:p>
      <w:pPr/>
      <w:r>
        <w:t>Delivery route used</w:t>
      </w:r>
    </w:p>
    <w:p>
      <w:pPr/>
      <w:r>
        <w:t>live voice authorised audio slides poster pointing/selection exact scribing other: __________</w:t>
      </w:r>
    </w:p>
    <w:p>
      <w:pPr/>
      <w:r>
        <w:t>Audience question or challenge:</w:t>
      </w:r>
    </w:p>
    <w:p>
      <w:pPr/>
      <w:r>
        <w:t>Learner response/revision:</w:t>
      </w:r>
    </w:p>
    <w:p>
      <w:pPr/>
      <w:r>
        <w:t>Named audience exact receipt</w:t>
      </w:r>
    </w:p>
    <w:p>
      <w:pPr/>
      <w:r>
        <w:t>I heard the enquiry/claim as ____.</w:t>
      </w:r>
    </w:p>
    <w:p>
      <w:pPr/>
      <w:r>
        <w:t>The map/source evidence was ____. The limitation was ____.</w:t>
      </w:r>
    </w:p>
    <w:p>
      <w:pPr/>
      <w:r>
        <w:t>Receiver name/role: ____________________ Date: __________</w:t>
      </w:r>
    </w:p>
    <w:p>
      <w:pPr/>
      <w:r>
        <w:t>Bounded Influence request for W14 access</w:t>
      </w:r>
    </w:p>
    <w:p>
      <w:pPr/>
      <w:r>
        <w:t>Requested condition: ____________________ Adult decision/reason: ____________________</w:t>
      </w:r>
    </w:p>
    <w:p>
      <w:pPr/>
      <w:r>
        <w:t>Owner/report-back before W14: __________________________________________</w:t>
      </w:r>
    </w:p>
    <w:p>
      <w:pPr>
        <w:pStyle w:val="Heading2"/>
      </w:pPr>
      <w:r>
        <w:t>Evidence, prompt and response record</w:t>
      </w:r>
    </w:p>
    <w:p>
      <w:pPr/>
      <w:r>
        <w:t>A presentation or completed sheet does not itself verify a UAS outcome.</w:t>
      </w:r>
    </w:p>
    <w:p>
      <w:pPr>
        <w:pStyle w:val="Heading1"/>
        <w:pageBreakBefore/>
      </w:pPr>
      <w:r>
        <w:t>Paper route · discuss the lesson choices</w:t>
      </w:r>
    </w:p>
    <w:p>
      <w:r>
        <w:t>Use these choices with the matching teaching stage. Point to or number a choice, explain it, then revisit it after feedback. The original HTML keeps the live controls.</w:t>
      </w:r>
    </w:p>
    <w:p>
      <w:pPr>
        <w:pStyle w:val="ListBullet"/>
      </w:pPr>
      <w:r>
        <w:t>Add claim</w:t>
      </w:r>
    </w:p>
    <w:p>
      <w:pPr>
        <w:pStyle w:val="ListBullet"/>
      </w:pPr>
      <w:r>
        <w:t>Add map</w:t>
      </w:r>
    </w:p>
    <w:p>
      <w:pPr>
        <w:pStyle w:val="ListBullet"/>
      </w:pPr>
      <w:r>
        <w:t>Add source A</w:t>
      </w:r>
    </w:p>
    <w:p>
      <w:pPr>
        <w:pStyle w:val="ListBullet"/>
      </w:pPr>
      <w:r>
        <w:t>Add source B</w:t>
      </w:r>
    </w:p>
    <w:p>
      <w:pPr>
        <w:pStyle w:val="ListBullet"/>
      </w:pPr>
      <w:r>
        <w:t>Add limit</w:t>
      </w:r>
    </w:p>
    <w:p>
      <w:pPr>
        <w:pStyle w:val="ListBullet"/>
      </w:pPr>
      <w:r>
        <w:t>Add action</w:t>
      </w:r>
    </w:p>
    <w:p>
      <w:pPr>
        <w:pStyle w:val="ListBullet"/>
      </w:pPr>
      <w:r>
        <w:t>▶ Start 75 sec</w:t>
      </w:r>
    </w:p>
    <w:p>
      <w:pPr>
        <w:pStyle w:val="ListBullet"/>
      </w:pPr>
      <w:r>
        <w:t>↺ Reset</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5B91A5"/>
          </w:tcPr>
          <w:p>
            <w:pPr>
              <w:spacing w:after="60" w:line="269" w:lineRule="auto"/>
            </w:pPr>
            <w:r>
              <w:rPr>
                <w:rFonts w:ascii="Arial" w:hAnsi="Arial"/>
                <w:b/>
                <w:color w:val="FFFFFF"/>
                <w:sz w:val="22"/>
              </w:rPr>
              <w:t>Choice / card</w:t>
            </w:r>
          </w:p>
        </w:tc>
        <w:tc>
          <w:tcPr>
            <w:tcW w:type="dxa" w:w="3288"/>
            <w:vAlign w:val="top"/>
            <w:shd w:fill="5B91A5"/>
          </w:tcPr>
          <w:p>
            <w:pPr>
              <w:spacing w:after="60" w:line="269" w:lineRule="auto"/>
            </w:pPr>
            <w:r>
              <w:rPr>
                <w:rFonts w:ascii="Arial" w:hAnsi="Arial"/>
                <w:b/>
                <w:color w:val="FFFFFF"/>
                <w:sz w:val="22"/>
              </w:rPr>
              <w:t>My reason or evidence</w:t>
            </w:r>
          </w:p>
        </w:tc>
        <w:tc>
          <w:tcPr>
            <w:tcW w:type="dxa" w:w="3288"/>
            <w:vAlign w:val="top"/>
            <w:shd w:fill="5B91A5"/>
          </w:tcPr>
          <w:p>
            <w:pPr>
              <w:spacing w:after="60" w:line="269" w:lineRule="auto"/>
            </w:pPr>
            <w:r>
              <w:rPr>
                <w:rFonts w:ascii="Arial" w:hAnsi="Arial"/>
                <w:b/>
                <w:color w:val="FFFFFF"/>
                <w:sz w:val="22"/>
              </w:rPr>
              <w:t>My revision after feedback</w:t>
            </w:r>
          </w:p>
        </w:tc>
      </w:tr>
      <w:tr>
        <w:trPr>
          <w:cantSplit/>
          <w:trHeight w:val="737"/>
        </w:trPr>
        <w:tc>
          <w:tcPr>
            <w:tcW w:type="dxa" w:w="3288"/>
            <w:vAlign w:val="top"/>
            <w:shd w:fill="FFFFFF"/>
          </w:tcPr>
          <w:p>
            <w:pPr>
              <w:spacing w:after="60" w:line="269" w:lineRule="auto"/>
            </w:pPr>
            <w:r>
              <w:rPr>
                <w:rFonts w:ascii="Arial" w:hAnsi="Arial"/>
                <w:b w:val="0"/>
                <w:color w:val="18233F"/>
                <w:sz w:val="22"/>
              </w:rPr>
            </w:r>
          </w:p>
        </w:tc>
        <w:tc>
          <w:tcPr>
            <w:tcW w:type="dxa" w:w="3288"/>
            <w:vAlign w:val="top"/>
            <w:shd w:fill="FFFFFF"/>
          </w:tcPr>
          <w:p>
            <w:pPr>
              <w:spacing w:after="60" w:line="269" w:lineRule="auto"/>
            </w:pPr>
            <w:r>
              <w:rPr>
                <w:rFonts w:ascii="Arial" w:hAnsi="Arial"/>
                <w:b w:val="0"/>
                <w:color w:val="18233F"/>
                <w:sz w:val="22"/>
              </w:rPr>
            </w:r>
          </w:p>
        </w:tc>
        <w:tc>
          <w:tcPr>
            <w:tcW w:type="dxa" w:w="3288"/>
            <w:vAlign w:val="top"/>
            <w:shd w:fill="FFFFFF"/>
          </w:tcPr>
          <w:p>
            <w:pPr>
              <w:spacing w:after="60" w:line="269" w:lineRule="auto"/>
            </w:pPr>
            <w:r>
              <w:rPr>
                <w:rFonts w:ascii="Arial" w:hAnsi="Arial"/>
                <w:b w:val="0"/>
                <w:color w:val="18233F"/>
                <w:sz w:val="22"/>
              </w:rPr>
            </w:r>
          </w:p>
        </w:tc>
      </w:tr>
      <w:tr>
        <w:trPr>
          <w:cantSplit/>
          <w:trHeight w:val="737"/>
        </w:trPr>
        <w:tc>
          <w:tcPr>
            <w:tcW w:type="dxa" w:w="3288"/>
            <w:vAlign w:val="top"/>
            <w:shd w:fill="F1F5F6"/>
          </w:tcPr>
          <w:p>
            <w:pPr>
              <w:spacing w:after="60" w:line="269" w:lineRule="auto"/>
            </w:pPr>
            <w:r>
              <w:rPr>
                <w:rFonts w:ascii="Arial" w:hAnsi="Arial"/>
                <w:b w:val="0"/>
                <w:color w:val="18233F"/>
                <w:sz w:val="22"/>
              </w:rPr>
            </w:r>
          </w:p>
        </w:tc>
        <w:tc>
          <w:tcPr>
            <w:tcW w:type="dxa" w:w="3288"/>
            <w:vAlign w:val="top"/>
            <w:shd w:fill="F1F5F6"/>
          </w:tcPr>
          <w:p>
            <w:pPr>
              <w:spacing w:after="60" w:line="269" w:lineRule="auto"/>
            </w:pPr>
            <w:r>
              <w:rPr>
                <w:rFonts w:ascii="Arial" w:hAnsi="Arial"/>
                <w:b w:val="0"/>
                <w:color w:val="18233F"/>
                <w:sz w:val="22"/>
              </w:rPr>
            </w:r>
          </w:p>
        </w:tc>
        <w:tc>
          <w:tcPr>
            <w:tcW w:type="dxa" w:w="3288"/>
            <w:vAlign w:val="top"/>
            <w:shd w:fill="F1F5F6"/>
          </w:tcPr>
          <w:p>
            <w:pPr>
              <w:spacing w:after="60" w:line="269" w:lineRule="auto"/>
            </w:pPr>
            <w:r>
              <w:rPr>
                <w:rFonts w:ascii="Arial" w:hAnsi="Arial"/>
                <w:b w:val="0"/>
                <w:color w:val="18233F"/>
                <w:sz w:val="22"/>
              </w:rPr>
            </w:r>
          </w:p>
        </w:tc>
      </w:tr>
      <w:tr>
        <w:trPr>
          <w:cantSplit/>
          <w:trHeight w:val="737"/>
        </w:trPr>
        <w:tc>
          <w:tcPr>
            <w:tcW w:type="dxa" w:w="3288"/>
            <w:vAlign w:val="top"/>
            <w:shd w:fill="FFFFFF"/>
          </w:tcPr>
          <w:p>
            <w:pPr>
              <w:spacing w:after="60" w:line="269" w:lineRule="auto"/>
            </w:pPr>
            <w:r>
              <w:rPr>
                <w:rFonts w:ascii="Arial" w:hAnsi="Arial"/>
                <w:b w:val="0"/>
                <w:color w:val="18233F"/>
                <w:sz w:val="22"/>
              </w:rPr>
            </w:r>
          </w:p>
        </w:tc>
        <w:tc>
          <w:tcPr>
            <w:tcW w:type="dxa" w:w="3288"/>
            <w:vAlign w:val="top"/>
            <w:shd w:fill="FFFFFF"/>
          </w:tcPr>
          <w:p>
            <w:pPr>
              <w:spacing w:after="60" w:line="269" w:lineRule="auto"/>
            </w:pPr>
            <w:r>
              <w:rPr>
                <w:rFonts w:ascii="Arial" w:hAnsi="Arial"/>
                <w:b w:val="0"/>
                <w:color w:val="18233F"/>
                <w:sz w:val="22"/>
              </w:rPr>
            </w:r>
          </w:p>
        </w:tc>
        <w:tc>
          <w:tcPr>
            <w:tcW w:type="dxa" w:w="3288"/>
            <w:vAlign w:val="top"/>
            <w:shd w:fill="FFFFFF"/>
          </w:tcPr>
          <w:p>
            <w:pPr>
              <w:spacing w:after="60" w:line="269" w:lineRule="auto"/>
            </w:pPr>
            <w:r>
              <w:rPr>
                <w:rFonts w:ascii="Arial" w:hAnsi="Arial"/>
                <w:b w:val="0"/>
                <w:color w:val="18233F"/>
                <w:sz w:val="22"/>
              </w:rPr>
            </w:r>
          </w:p>
        </w:tc>
      </w:tr>
      <w:tr>
        <w:trPr>
          <w:cantSplit/>
          <w:trHeight w:val="737"/>
        </w:trPr>
        <w:tc>
          <w:tcPr>
            <w:tcW w:type="dxa" w:w="3288"/>
            <w:vAlign w:val="top"/>
            <w:shd w:fill="F1F5F6"/>
          </w:tcPr>
          <w:p>
            <w:pPr>
              <w:spacing w:after="60" w:line="269" w:lineRule="auto"/>
            </w:pPr>
            <w:r>
              <w:rPr>
                <w:rFonts w:ascii="Arial" w:hAnsi="Arial"/>
                <w:b w:val="0"/>
                <w:color w:val="18233F"/>
                <w:sz w:val="22"/>
              </w:rPr>
            </w:r>
          </w:p>
        </w:tc>
        <w:tc>
          <w:tcPr>
            <w:tcW w:type="dxa" w:w="3288"/>
            <w:vAlign w:val="top"/>
            <w:shd w:fill="F1F5F6"/>
          </w:tcPr>
          <w:p>
            <w:pPr>
              <w:spacing w:after="60" w:line="269" w:lineRule="auto"/>
            </w:pPr>
            <w:r>
              <w:rPr>
                <w:rFonts w:ascii="Arial" w:hAnsi="Arial"/>
                <w:b w:val="0"/>
                <w:color w:val="18233F"/>
                <w:sz w:val="22"/>
              </w:rPr>
            </w:r>
          </w:p>
        </w:tc>
        <w:tc>
          <w:tcPr>
            <w:tcW w:type="dxa" w:w="3288"/>
            <w:vAlign w:val="top"/>
            <w:shd w:fill="F1F5F6"/>
          </w:tcPr>
          <w:p>
            <w:pPr>
              <w:spacing w:after="60" w:line="269" w:lineRule="auto"/>
            </w:pPr>
            <w:r>
              <w:rPr>
                <w:rFonts w:ascii="Arial" w:hAnsi="Arial"/>
                <w:b w:val="0"/>
                <w:color w:val="18233F"/>
                <w:sz w:val="22"/>
              </w:rPr>
            </w:r>
          </w:p>
        </w:tc>
      </w:tr>
    </w:tbl>
    <w:p>
      <w:pPr>
        <w:spacing w:after="0"/>
      </w:pPr>
    </w:p>
    <w:p>
      <w:pPr>
        <w:pStyle w:val="Heading1"/>
        <w:pageBreakBefore/>
      </w:pPr>
      <w:r>
        <w:t>Visual evidence from the lesson</w:t>
      </w:r>
    </w:p>
    <w:p>
      <w:pPr>
        <w:keepNext/>
        <w:jc w:val="center"/>
      </w:pPr>
      <w:r>
        <w:drawing>
          <wp:inline xmlns:a="http://schemas.openxmlformats.org/drawingml/2006/main" xmlns:pic="http://schemas.openxmlformats.org/drawingml/2006/picture">
            <wp:extent cx="6080760" cy="1871003"/>
            <wp:docPr id="1" name="Picture 1"/>
            <wp:cNvGraphicFramePr>
              <a:graphicFrameLocks noChangeAspect="1"/>
            </wp:cNvGraphicFramePr>
            <a:graphic>
              <a:graphicData uri="http://schemas.openxmlformats.org/drawingml/2006/picture">
                <pic:pic>
                  <pic:nvPicPr>
                    <pic:cNvPr id="0" name="dc031f8f96b353827acd.png"/>
                    <pic:cNvPicPr/>
                  </pic:nvPicPr>
                  <pic:blipFill>
                    <a:blip r:embed="rId11"/>
                    <a:stretch>
                      <a:fillRect/>
                    </a:stretch>
                  </pic:blipFill>
                  <pic:spPr>
                    <a:xfrm>
                      <a:off x="0" y="0"/>
                      <a:ext cx="6080760" cy="1871003"/>
                    </a:xfrm>
                    <a:prstGeom prst="rect"/>
                  </pic:spPr>
                </pic:pic>
              </a:graphicData>
            </a:graphic>
          </wp:inline>
        </w:drawing>
      </w:r>
    </w:p>
    <w:p>
      <w:pPr>
        <w:pStyle w:val="Caption"/>
        <w:keepNext w:val="0"/>
      </w:pPr>
      <w:r>
        <w:t>Claim</w:t>
      </w:r>
    </w:p>
    <w:p>
      <w:pPr>
        <w:keepNext/>
        <w:jc w:val="center"/>
      </w:pPr>
      <w:r>
        <w:drawing>
          <wp:inline xmlns:a="http://schemas.openxmlformats.org/drawingml/2006/main" xmlns:pic="http://schemas.openxmlformats.org/drawingml/2006/picture">
            <wp:extent cx="6080760" cy="1871003"/>
            <wp:docPr id="2" name="Picture 2"/>
            <wp:cNvGraphicFramePr>
              <a:graphicFrameLocks noChangeAspect="1"/>
            </wp:cNvGraphicFramePr>
            <a:graphic>
              <a:graphicData uri="http://schemas.openxmlformats.org/drawingml/2006/picture">
                <pic:pic>
                  <pic:nvPicPr>
                    <pic:cNvPr id="0" name="c5a7ce69aa0743c71056.png"/>
                    <pic:cNvPicPr/>
                  </pic:nvPicPr>
                  <pic:blipFill>
                    <a:blip r:embed="rId12"/>
                    <a:stretch>
                      <a:fillRect/>
                    </a:stretch>
                  </pic:blipFill>
                  <pic:spPr>
                    <a:xfrm>
                      <a:off x="0" y="0"/>
                      <a:ext cx="6080760" cy="1871003"/>
                    </a:xfrm>
                    <a:prstGeom prst="rect"/>
                  </pic:spPr>
                </pic:pic>
              </a:graphicData>
            </a:graphic>
          </wp:inline>
        </w:drawing>
      </w:r>
    </w:p>
    <w:p>
      <w:pPr>
        <w:pStyle w:val="Caption"/>
        <w:keepNext w:val="0"/>
      </w:pPr>
      <w:r>
        <w:t>One pin</w:t>
      </w:r>
    </w:p>
    <w:p>
      <w:pPr>
        <w:keepNext/>
        <w:jc w:val="center"/>
      </w:pPr>
      <w:r>
        <w:drawing>
          <wp:inline xmlns:a="http://schemas.openxmlformats.org/drawingml/2006/main" xmlns:pic="http://schemas.openxmlformats.org/drawingml/2006/picture">
            <wp:extent cx="6080760" cy="1871003"/>
            <wp:docPr id="3" name="Picture 3"/>
            <wp:cNvGraphicFramePr>
              <a:graphicFrameLocks noChangeAspect="1"/>
            </wp:cNvGraphicFramePr>
            <a:graphic>
              <a:graphicData uri="http://schemas.openxmlformats.org/drawingml/2006/picture">
                <pic:pic>
                  <pic:nvPicPr>
                    <pic:cNvPr id="0" name="1a27f89dd20cd0b9d81b.png"/>
                    <pic:cNvPicPr/>
                  </pic:nvPicPr>
                  <pic:blipFill>
                    <a:blip r:embed="rId13"/>
                    <a:stretch>
                      <a:fillRect/>
                    </a:stretch>
                  </pic:blipFill>
                  <pic:spPr>
                    <a:xfrm>
                      <a:off x="0" y="0"/>
                      <a:ext cx="6080760" cy="1871003"/>
                    </a:xfrm>
                    <a:prstGeom prst="rect"/>
                  </pic:spPr>
                </pic:pic>
              </a:graphicData>
            </a:graphic>
          </wp:inline>
        </w:drawing>
      </w:r>
    </w:p>
    <w:p>
      <w:pPr>
        <w:pStyle w:val="Caption"/>
        <w:keepNext w:val="0"/>
      </w:pPr>
      <w:r>
        <w:t>Source</w:t>
      </w:r>
    </w:p>
    <w:p>
      <w:pPr>
        <w:keepNext/>
        <w:jc w:val="center"/>
      </w:pPr>
      <w:r>
        <w:drawing>
          <wp:inline xmlns:a="http://schemas.openxmlformats.org/drawingml/2006/main" xmlns:pic="http://schemas.openxmlformats.org/drawingml/2006/picture">
            <wp:extent cx="6080760" cy="1871003"/>
            <wp:docPr id="4" name="Picture 4"/>
            <wp:cNvGraphicFramePr>
              <a:graphicFrameLocks noChangeAspect="1"/>
            </wp:cNvGraphicFramePr>
            <a:graphic>
              <a:graphicData uri="http://schemas.openxmlformats.org/drawingml/2006/picture">
                <pic:pic>
                  <pic:nvPicPr>
                    <pic:cNvPr id="0" name="7e5c25dd64336f3d40c3.png"/>
                    <pic:cNvPicPr/>
                  </pic:nvPicPr>
                  <pic:blipFill>
                    <a:blip r:embed="rId14"/>
                    <a:stretch>
                      <a:fillRect/>
                    </a:stretch>
                  </pic:blipFill>
                  <pic:spPr>
                    <a:xfrm>
                      <a:off x="0" y="0"/>
                      <a:ext cx="6080760" cy="1871003"/>
                    </a:xfrm>
                    <a:prstGeom prst="rect"/>
                  </pic:spPr>
                </pic:pic>
              </a:graphicData>
            </a:graphic>
          </wp:inline>
        </w:drawing>
      </w:r>
    </w:p>
    <w:p>
      <w:pPr>
        <w:pStyle w:val="Caption"/>
        <w:keepNext w:val="0"/>
      </w:pPr>
      <w:r>
        <w:t>Limit</w:t>
      </w:r>
    </w:p>
    <w:p>
      <w:pPr>
        <w:pStyle w:val="Heading2"/>
      </w:pPr>
      <w:r>
        <w:t>Exit · one next step</w:t>
      </w:r>
    </w:p>
    <w:p>
      <w:pPr>
        <w:keepNext/>
      </w:pPr>
      <w:r>
        <w:t>After the adult has listened, what will you keep, improve or check next?</w:t>
      </w:r>
    </w:p>
    <w:p>
      <w:pPr>
        <w:keepNext/>
        <w:spacing w:after="0" w:line="240" w:lineRule="auto"/>
        <w:pBdr>
          <w:bottom w:val="single" w:sz="3" w:color="D6DFE4" w:space="1"/>
        </w:pBdr>
      </w:pPr>
      <w:r>
        <w:rPr>
          <w:sz w:val="40"/>
        </w:rPr>
        <w:t xml:space="preserve"> </w:t>
      </w:r>
    </w:p>
    <w:p>
      <w:pPr>
        <w:keepNext w:val="0"/>
        <w:spacing w:after="0" w:line="240" w:lineRule="auto"/>
        <w:pBdr>
          <w:bottom w:val="single" w:sz="3" w:color="D6DFE4" w:space="1"/>
        </w:pBdr>
      </w:pPr>
      <w:r>
        <w:rPr>
          <w:sz w:val="40"/>
        </w:rPr>
        <w:t xml:space="preserve"> </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GROW_HUM_W13_Belonging_Briefing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5B91A5"/>
        <w:sz w:val="18"/>
      </w:rPr>
      <w:t>GROW  /  HUMANITIES    •    PUPIL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5B91A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5B91A5"/>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5B91A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5B91A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