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Amylase and pH: Continuous-Sampling Investigation</w:t>
      </w:r>
    </w:p>
    <w:p>
      <w:pPr>
        <w:pStyle w:val="Subtitle"/>
      </w:pPr>
      <w:r>
        <w:t>LAUNCH · Science · 40 minutes</w:t>
      </w:r>
    </w:p>
    <w:p>
      <w:r>
        <w:t>I can follow the centre-approved Pearson method to investigate how pH affects amylase activity, recording safe continuous-sampling evidence accurately.</w:t>
      </w:r>
    </w:p>
    <w:p>
      <w:pPr>
        <w:pStyle w:val="Heading1"/>
      </w:pPr>
      <w:r>
        <w:t>Prepare before pupils arrive</w:t>
      </w:r>
    </w:p>
    <w:p>
      <w:r>
        <w:t>Setup: Technician and teacher must prepare, label and check all solutions and equipment under the current centre-approved Pearson method and risk assessment. Allocate roles, prepare a dry/paper parity route and decide the exact endpoint rule before pupils enter.</w:t>
      </w:r>
    </w:p>
    <w:p>
      <w:r>
        <w:t>Safety: This deck is not a method sheet, COSHH assessment or certification record. Follow the latest centre/Pearson instructions. Control iodine, heating, solution concentrations, contamination, spills and disposal; never use pupil-generated method details as authorisation.</w:t>
      </w:r>
    </w:p>
    <w:p>
      <w:r>
        <w:t>Equipment: Only the apparatus and prepared solutions listed in the centre's current Pearson-aligned CP 1.10 method: typically labelled amylase, starch and buffer solutions, iodine spotting tile setup, clean transfer equipment, reaction vessels, timer and authorised temperature-control equipment.</w:t>
      </w:r>
    </w:p>
    <w:p>
      <w:r>
        <w:t>Safety: Teacher/technician control applies throughout. Wear required eye protection; iodine is hazardous and stains; avoid skin/eye contact and inhalation, never taste or mouth-pipette, keep solutions labelled, follow heating and spill procedures, and use only current COSHH/local risk controls. Stop immediately if the authorised setup differs from the deck summary.</w:t>
      </w:r>
    </w:p>
    <w:p>
      <w:r>
        <w:t>Fallback: Take a safe non-contact role—timer, interval caller, observer or exact recorder—or analyse teacher-provided raw observations. The teacher decides whether any practical evidence meets course requirements.</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Edexcel GCSE Biology 1BI0 Foundation · Paper 1 · Topic 1 · specification point 1.10 investigation of pH and enzyme activity.</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7A5C9E"/>
          </w:tcPr>
          <w:p>
            <w:pPr>
              <w:spacing w:after="60" w:line="269" w:lineRule="auto"/>
            </w:pPr>
            <w:r>
              <w:rPr>
                <w:rFonts w:ascii="Arial" w:hAnsi="Arial"/>
                <w:b/>
                <w:color w:val="FFFFFF"/>
                <w:sz w:val="20"/>
              </w:rPr>
              <w:t>Stage / total time</w:t>
            </w:r>
          </w:p>
        </w:tc>
        <w:tc>
          <w:tcPr>
            <w:tcW w:type="dxa" w:w="3288"/>
            <w:vAlign w:val="top"/>
            <w:shd w:fill="7A5C9E"/>
          </w:tcPr>
          <w:p>
            <w:pPr>
              <w:spacing w:after="60" w:line="269" w:lineRule="auto"/>
            </w:pPr>
            <w:r>
              <w:rPr>
                <w:rFonts w:ascii="Arial" w:hAnsi="Arial"/>
                <w:b/>
                <w:color w:val="FFFFFF"/>
                <w:sz w:val="20"/>
              </w:rPr>
              <w:t>Teaching move</w:t>
            </w:r>
          </w:p>
        </w:tc>
        <w:tc>
          <w:tcPr>
            <w:tcW w:type="dxa" w:w="3288"/>
            <w:vAlign w:val="top"/>
            <w:shd w:fill="7A5C9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State the independent and dependent variables. Name two variables that must stay constant.</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4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continuous sampling — test small samples over time endpoint — the stopping observation validity — tests the intended question Teacher checks goggles, labelled solutions, tile layout, clean transfer equipment, timing roles and the authorised temperature-control arrangement before permission to begin. Prepare the specified small iodine volume in each labelled tile well before mixing amylase, buffer and starch in the authorised order.</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4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4 min</w:t>
            </w:r>
          </w:p>
        </w:tc>
        <w:tc>
          <w:tcPr>
            <w:tcW w:type="dxa" w:w="3288"/>
            <w:vAlign w:val="top"/>
            <w:shd w:fill="FFFFFF"/>
          </w:tcPr>
          <w:p>
            <w:pPr>
              <w:spacing w:after="60" w:line="269" w:lineRule="auto"/>
            </w:pPr>
            <w:r>
              <w:rPr>
                <w:rFonts w:ascii="Arial" w:hAnsi="Arial"/>
                <w:b w:val="0"/>
                <w:color w:val="18233F"/>
                <w:sz w:val="20"/>
              </w:rPr>
              <w:t>Keep roles clear: one trained pupil samples, one calls the interval, one records, and one checks the tile map; rotate roles only when the teacher says it is safe. Use separate labelled transfer equipment as directed to reduce cross-contamination.</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5 min</w:t>
            </w:r>
          </w:p>
        </w:tc>
        <w:tc>
          <w:tcPr>
            <w:tcW w:type="dxa" w:w="3288"/>
            <w:vAlign w:val="top"/>
            <w:shd w:fill="F1F5F6"/>
          </w:tcPr>
          <w:p>
            <w:pPr>
              <w:spacing w:after="60" w:line="269" w:lineRule="auto"/>
            </w:pPr>
            <w:r>
              <w:rPr>
                <w:rFonts w:ascii="Arial" w:hAnsi="Arial"/>
                <w:b w:val="0"/>
                <w:color w:val="18233F"/>
                <w:sz w:val="20"/>
              </w:rPr>
              <w:t>Before or during the physical practical, classify each situation as continue, stop/check, or record-and-repeat. Choose one live-lab situation.</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12 min</w:t>
            </w:r>
          </w:p>
        </w:tc>
        <w:tc>
          <w:tcPr>
            <w:tcW w:type="dxa" w:w="3288"/>
            <w:vAlign w:val="top"/>
            <w:shd w:fill="FFFFFF"/>
          </w:tcPr>
          <w:p>
            <w:pPr>
              <w:spacing w:after="60" w:line="269" w:lineRule="auto"/>
            </w:pPr>
            <w:r>
              <w:rPr>
                <w:rFonts w:ascii="Arial" w:hAnsi="Arial"/>
                <w:b w:val="0"/>
                <w:color w:val="18233F"/>
                <w:sz w:val="20"/>
              </w:rPr>
              <w:t>Carry out the assigned part of the centre-approved amylase-pH investigation and preserve a complete raw evidence record. Record: A dated raw table with pH, each sampled colour, first observed endpoint time, anomalies/uncertainty and the pupil's own method note.</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State the endpoint for one trial and explain why a shorter time indicates greater amylase activity.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Give one next move; the pupil edits or re-attempts on the existing work.</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90 s, the first sampled time at which starch was not detected, with interval uncertainty acknowledged.</w:t>
      </w:r>
    </w:p>
    <w:p>
      <w:r>
        <w:t>Correct. Record the first sampled time meeting the agreed endpoint; the true change occurred somewhere within the sampling interval, so 75 s is not known exactly.</w:t>
      </w:r>
    </w:p>
    <w:p>
      <w:pPr>
        <w:pStyle w:val="Heading2"/>
      </w:pPr>
      <w:r>
        <w:t>Misconception repair</w:t>
      </w:r>
    </w:p>
    <w:p>
      <w:r>
        <w:t>Repaired. Preserve the raw observation, flag uncertainty and repeat under the approved method if appropriate.</w:t>
      </w:r>
    </w:p>
    <w:p>
      <w:pPr>
        <w:pStyle w:val="Heading2"/>
      </w:pPr>
      <w:r>
        <w:t>Guided checkpoint</w:t>
      </w:r>
    </w:p>
    <w:p>
      <w:r>
        <w:t>Correct. Record the first sampled time meeting the agreed endpoint; the true change occurred somewhere within the sampling interval, so 75 s is not known exactly. Use only times actually observed. Do not invent an exact time between samples.</w:t>
      </w:r>
    </w:p>
    <w:p>
      <w:pPr>
        <w:pStyle w:val="Heading2"/>
      </w:pPr>
      <w:r>
        <w:t>Ready tile</w:t>
      </w:r>
    </w:p>
    <w:p>
      <w:r>
        <w:t>CONTINUE AS AUTHORISED. Continue: the checked setup is ready for the authorised next method step. Look for evidence that method, safety and roles have all been checked.</w:t>
      </w:r>
    </w:p>
    <w:p>
      <w:pPr>
        <w:pStyle w:val="Heading2"/>
      </w:pPr>
      <w:r>
        <w:t>Iodine spill</w:t>
      </w:r>
    </w:p>
    <w:p>
      <w:r>
        <w:t>STOP AND CHECK ADULT. Stop and alert the adult. Follow the local spill/first-aid procedure; do not improvise cleanup. A chemical spill requires the trained adult and local procedure.</w:t>
      </w:r>
    </w:p>
    <w:p>
      <w:pPr>
        <w:pStyle w:val="Heading2"/>
      </w:pPr>
      <w:r>
        <w:t>Unlabelled buffer</w:t>
      </w:r>
    </w:p>
    <w:p>
      <w:r>
        <w:t>STOP AND CHECK ADULT. Stop: an unlabelled solution is unsafe and cannot provide valid pH evidence. Both chemical identity and IV value must be known before use.</w:t>
      </w:r>
    </w:p>
    <w:p>
      <w:pPr>
        <w:pStyle w:val="Heading2"/>
      </w:pPr>
      <w:r>
        <w:t>Missed interval</w:t>
      </w:r>
    </w:p>
    <w:p>
      <w:r>
        <w:t>RECORD, THEN REPEAT IF AUTHORISED. Record the missed sample honestly and repeat only if the authorised method, time and materials allow. Do not invent the missing colour or quietly change the sampling time.</w:t>
      </w:r>
    </w:p>
    <w:p>
      <w:pPr>
        <w:pStyle w:val="Heading2"/>
      </w:pPr>
      <w:r>
        <w:t>Borderline colour</w:t>
      </w:r>
    </w:p>
    <w:p>
      <w:r>
        <w:t>RECORD, THEN REPEAT IF AUTHORISED. Record the ambiguity and repeat or moderate the judgement using the authorised protocol. Uncertain evidence should be preserved and checked, not forced into a preferred result.</w:t>
      </w:r>
    </w:p>
    <w:p>
      <w:pPr>
        <w:pStyle w:val="Heading2"/>
      </w:pPr>
      <w:r>
        <w:t>Clean fixed sample</w:t>
      </w:r>
    </w:p>
    <w:p>
      <w:r>
        <w:t>CONTINUE AS AUTHORISED. Continue: the sampling action follows the checked method. This situation has no safety or evidence fault to repair.</w:t>
      </w:r>
    </w:p>
    <w:p>
      <w:pPr>
        <w:pStyle w:val="Heading2"/>
      </w:pPr>
      <w:r>
        <w:t>Temperature outside range</w:t>
      </w:r>
    </w:p>
    <w:p>
      <w:r>
        <w:t>STOP AND CHECK ADULT. Stop and check the adult. The method condition and safety setup need correction before valid continuation. Temperature is both a controlled variable and part of the authorised apparatus setup.</w:t>
      </w:r>
    </w:p>
    <w:p>
      <w:pPr>
        <w:pStyle w:val="Heading2"/>
      </w:pPr>
      <w:r>
        <w:t>Model limitation</w:t>
      </w:r>
    </w:p>
    <w:p>
      <w:r>
        <w:t>The iodine colour is a threshold judgement, not a continuous measure of starch concentration. Sampling intervals limit time precision, and the classroom method does not show molecular collisions or active-site shape directly.</w:t>
      </w:r>
    </w:p>
    <w:p>
      <w:pPr>
        <w:pStyle w:val="Heading2"/>
      </w:pPr>
      <w:r>
        <w:t>Independent evidence</w:t>
      </w:r>
    </w:p>
    <w:p>
      <w:r>
        <w:t>A dated raw table with pH, each sampled colour, first observed endpoint time, anomalies/uncertainty and the pupil's own method note. The page itself makes no CP-completion claim.</w:t>
      </w:r>
    </w:p>
    <w:p>
      <w:r>
        <w:t>Supported: Complete one clearly labelled reaction timeline with an adult-authorised role; circle the first orange-brown endpoint and state whether starch is detected. Use the colour key, pre-labelled time row and exact scribing/pointing route. Keep the same scientific endpoint.</w:t>
      </w:r>
    </w:p>
    <w:p>
      <w:r>
        <w:t>Standard: Run or record assigned pH trials, identify endpoint times and annotate one control-variable or uncertainty check. Use the prepared raw table. Write what was observed before writing what it means.</w:t>
      </w:r>
    </w:p>
    <w:p>
      <w:r>
        <w:t>Stretch: Preserve full sampling evidence, estimate the maximum endpoint-time uncertainty from the interval and justify whether a repeat is needed. Separate an ambiguous endpoint, missed sample and anomalous result; do not imply greater precision than the method provides.</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7A5C9E"/>
          </w:tcPr>
          <w:p>
            <w:pPr>
              <w:spacing w:after="60" w:line="269" w:lineRule="auto"/>
            </w:pPr>
            <w:r>
              <w:rPr>
                <w:rFonts w:ascii="Arial" w:hAnsi="Arial"/>
                <w:b/>
                <w:color w:val="FFFFFF"/>
                <w:sz w:val="21"/>
              </w:rPr>
              <w:t>What the learner actually showed</w:t>
            </w:r>
          </w:p>
        </w:tc>
        <w:tc>
          <w:tcPr>
            <w:tcW w:type="dxa" w:w="4932"/>
            <w:vAlign w:val="top"/>
            <w:shd w:fill="7A5C9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SCI_L_W8L2_Amylase_pH_Core_Practical_Explore.html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W8L2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7A5C9E"/>
        <w:sz w:val="18"/>
      </w:rPr>
      <w:t>LAUNCH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7A5C9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7A5C9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7A5C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7A5C9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