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Kicker"/>
      </w:pPr>
      <w:r>
        <w:t>TEACHER GUIDANCE / ANSWERS SEPARATE</w:t>
      </w:r>
    </w:p>
    <w:p>
      <w:pPr>
        <w:pStyle w:val="Title"/>
      </w:pPr>
      <w:r>
        <w:t>Muscles work in pairs</w:t>
      </w:r>
    </w:p>
    <w:p>
      <w:pPr>
        <w:pStyle w:val="Subtitle"/>
      </w:pPr>
      <w:r>
        <w:t>Autumn 1 · Week 4 · Lesson A · 40 minutes</w:t>
      </w:r>
    </w:p>
    <w:p>
      <w:pPr>
        <w:pStyle w:val="Heading1"/>
      </w:pPr>
      <w:r>
        <w:t>Learning objective</w:t>
      </w:r>
    </w:p>
    <w:p>
      <w:r>
        <w:t>Explain how biceps and triceps take turns contracting to bend and actively straighten the elbow, using a safe model.</w:t>
      </w:r>
    </w:p>
    <w:p>
      <w:pPr>
        <w:pStyle w:val="Heading1"/>
      </w:pPr>
      <w:r>
        <w:t>Evidence to look for</w:t>
      </w:r>
    </w:p>
    <w:p>
      <w:r>
        <w:t>Record the pupil decision or explanation and the support used. Accept pointing, signing, adult scribing or directing the model. A photograph alone does not establish understanding; no photography or public sharing is required.</w:t>
      </w:r>
    </w:p>
    <w:p>
      <w:pPr>
        <w:pStyle w:val="Heading1"/>
      </w:pPr>
      <w:r>
        <w:t>Source lesson timing</w:t>
      </w:r>
    </w:p>
    <w:tbl>
      <w:tblPr>
        <w:jc w:val="left"/>
        <w:tblLayout w:type="fixed"/>
        <w:tblLook w:firstColumn="1" w:firstRow="1" w:lastColumn="0" w:lastRow="0" w:noHBand="0" w:noVBand="1" w:val="04A0"/>
        <w:tblW w:w="9866" w:type="dxa"/>
        <w:tblInd w:w="120" w:type="dxa"/>
        <w:tblCellMar>
          <w:top w:w="100" w:type="dxa"/>
          <w:left w:w="100" w:type="dxa"/>
          <w:bottom w:w="100" w:type="dxa"/>
          <w:right w:w="100" w:type="dxa"/>
        </w:tblCellMar>
        <w:tblBorders>
          <w:top w:val="single" w:sz="4" w:color="ACBBB7"/>
          <w:left w:val="single" w:sz="4" w:color="ACBBB7"/>
          <w:bottom w:val="single" w:sz="4" w:color="ACBBB7"/>
          <w:right w:val="single" w:sz="4" w:color="ACBBB7"/>
          <w:insideH w:val="single" w:sz="4" w:color="ACBBB7"/>
          <w:insideV w:val="single" w:sz="4" w:color="ACBBB7"/>
        </w:tblBorders>
      </w:tblPr>
      <w:tblGrid>
        <w:gridCol w:w="2466"/>
        <w:gridCol w:w="5919"/>
        <w:gridCol w:w="1481"/>
      </w:tblGrid>
      <w:tr>
        <w:trPr>
          <w:cantSplit/>
          <w:tblHeader/>
        </w:trPr>
        <w:tc>
          <w:tcPr>
            <w:vAlign w:val="center"/>
            <w:tcW w:w="2466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Elapsed minutes</w:t>
            </w:r>
          </w:p>
        </w:tc>
        <w:tc>
          <w:tcPr>
            <w:vAlign w:val="center"/>
            <w:tcW w:w="5919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Source stage</w:t>
            </w:r>
          </w:p>
        </w:tc>
        <w:tc>
          <w:tcPr>
            <w:vAlign w:val="center"/>
            <w:tcW w:w="1481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Minutes</w:t>
            </w:r>
          </w:p>
        </w:tc>
      </w:tr>
      <w:tr>
        <w:trPr>
          <w:cantSplit/>
        </w:trPr>
        <w:tc>
          <w:tcPr>
            <w:vAlign w:val="center"/>
            <w:tcW w:w="2466" w:type="dxa"/>
          </w:tcPr>
          <w:p>
            <w:pPr>
              <w:spacing w:after="20" w:before="20"/>
            </w:pPr>
            <w:r>
              <w:rPr>
                <w:sz w:val="21"/>
              </w:rPr>
              <w:t>0–1</w:t>
            </w:r>
          </w:p>
        </w:tc>
        <w:tc>
          <w:tcPr>
            <w:vAlign w:val="center"/>
            <w:tcW w:w="5919" w:type="dxa"/>
          </w:tcPr>
          <w:p>
            <w:pPr>
              <w:spacing w:after="20" w:before="20"/>
            </w:pPr>
            <w:r>
              <w:rPr>
                <w:sz w:val="21"/>
              </w:rPr>
              <w:t>Overview</w:t>
            </w:r>
          </w:p>
        </w:tc>
        <w:tc>
          <w:tcPr>
            <w:vAlign w:val="center"/>
            <w:tcW w:w="1481" w:type="dxa"/>
          </w:tcPr>
          <w:p>
            <w:pPr>
              <w:spacing w:after="20" w:before="20"/>
            </w:pPr>
            <w:r>
              <w:rPr>
                <w:sz w:val="21"/>
              </w:rPr>
              <w:t>1</w:t>
            </w:r>
          </w:p>
        </w:tc>
      </w:tr>
      <w:tr>
        <w:trPr>
          <w:cantSplit/>
        </w:trPr>
        <w:tc>
          <w:tcPr>
            <w:vAlign w:val="center"/>
            <w:tcW w:w="2466" w:type="dxa"/>
          </w:tcPr>
          <w:p>
            <w:pPr>
              <w:spacing w:after="20" w:before="20"/>
            </w:pPr>
            <w:r>
              <w:rPr>
                <w:sz w:val="21"/>
              </w:rPr>
              <w:t>1–5</w:t>
            </w:r>
          </w:p>
        </w:tc>
        <w:tc>
          <w:tcPr>
            <w:vAlign w:val="center"/>
            <w:tcW w:w="5919" w:type="dxa"/>
          </w:tcPr>
          <w:p>
            <w:pPr>
              <w:spacing w:after="20" w:before="20"/>
            </w:pPr>
            <w:r>
              <w:rPr>
                <w:sz w:val="21"/>
              </w:rPr>
              <w:t>Arrival Task</w:t>
            </w:r>
          </w:p>
        </w:tc>
        <w:tc>
          <w:tcPr>
            <w:vAlign w:val="center"/>
            <w:tcW w:w="1481" w:type="dxa"/>
          </w:tcPr>
          <w:p>
            <w:pPr>
              <w:spacing w:after="20" w:before="20"/>
            </w:pPr>
            <w:r>
              <w:rPr>
                <w:sz w:val="21"/>
              </w:rPr>
              <w:t>4</w:t>
            </w:r>
          </w:p>
        </w:tc>
      </w:tr>
      <w:tr>
        <w:trPr>
          <w:cantSplit/>
        </w:trPr>
        <w:tc>
          <w:tcPr>
            <w:vAlign w:val="center"/>
            <w:tcW w:w="2466" w:type="dxa"/>
          </w:tcPr>
          <w:p>
            <w:pPr>
              <w:spacing w:after="20" w:before="20"/>
            </w:pPr>
            <w:r>
              <w:rPr>
                <w:sz w:val="21"/>
              </w:rPr>
              <w:t>5–7</w:t>
            </w:r>
          </w:p>
        </w:tc>
        <w:tc>
          <w:tcPr>
            <w:vAlign w:val="center"/>
            <w:tcW w:w="5919" w:type="dxa"/>
          </w:tcPr>
          <w:p>
            <w:pPr>
              <w:spacing w:after="20" w:before="20"/>
            </w:pPr>
            <w:r>
              <w:rPr>
                <w:sz w:val="21"/>
              </w:rPr>
              <w:t>Today at a Glance</w:t>
            </w:r>
          </w:p>
        </w:tc>
        <w:tc>
          <w:tcPr>
            <w:vAlign w:val="center"/>
            <w:tcW w:w="1481" w:type="dxa"/>
          </w:tcPr>
          <w:p>
            <w:pPr>
              <w:spacing w:after="20" w:before="20"/>
            </w:pPr>
            <w:r>
              <w:rPr>
                <w:sz w:val="21"/>
              </w:rPr>
              <w:t>2</w:t>
            </w:r>
          </w:p>
        </w:tc>
      </w:tr>
      <w:tr>
        <w:trPr>
          <w:cantSplit/>
        </w:trPr>
        <w:tc>
          <w:tcPr>
            <w:vAlign w:val="center"/>
            <w:tcW w:w="2466" w:type="dxa"/>
          </w:tcPr>
          <w:p>
            <w:pPr>
              <w:spacing w:after="20" w:before="20"/>
            </w:pPr>
            <w:r>
              <w:rPr>
                <w:sz w:val="21"/>
              </w:rPr>
              <w:t>7–12</w:t>
            </w:r>
          </w:p>
        </w:tc>
        <w:tc>
          <w:tcPr>
            <w:vAlign w:val="center"/>
            <w:tcW w:w="5919" w:type="dxa"/>
          </w:tcPr>
          <w:p>
            <w:pPr>
              <w:spacing w:after="20" w:before="20"/>
            </w:pPr>
            <w:r>
              <w:rPr>
                <w:sz w:val="21"/>
              </w:rPr>
              <w:t>I Do 1</w:t>
            </w:r>
          </w:p>
        </w:tc>
        <w:tc>
          <w:tcPr>
            <w:vAlign w:val="center"/>
            <w:tcW w:w="1481" w:type="dxa"/>
          </w:tcPr>
          <w:p>
            <w:pPr>
              <w:spacing w:after="20" w:before="20"/>
            </w:pPr>
            <w:r>
              <w:rPr>
                <w:sz w:val="21"/>
              </w:rPr>
              <w:t>5</w:t>
            </w:r>
          </w:p>
        </w:tc>
      </w:tr>
      <w:tr>
        <w:trPr>
          <w:cantSplit/>
        </w:trPr>
        <w:tc>
          <w:tcPr>
            <w:vAlign w:val="center"/>
            <w:tcW w:w="2466" w:type="dxa"/>
          </w:tcPr>
          <w:p>
            <w:pPr>
              <w:spacing w:after="20" w:before="20"/>
            </w:pPr>
            <w:r>
              <w:rPr>
                <w:sz w:val="21"/>
              </w:rPr>
              <w:t>12–17</w:t>
            </w:r>
          </w:p>
        </w:tc>
        <w:tc>
          <w:tcPr>
            <w:vAlign w:val="center"/>
            <w:tcW w:w="5919" w:type="dxa"/>
          </w:tcPr>
          <w:p>
            <w:pPr>
              <w:spacing w:after="20" w:before="20"/>
            </w:pPr>
            <w:r>
              <w:rPr>
                <w:sz w:val="21"/>
              </w:rPr>
              <w:t>I Do 1b</w:t>
            </w:r>
          </w:p>
        </w:tc>
        <w:tc>
          <w:tcPr>
            <w:vAlign w:val="center"/>
            <w:tcW w:w="1481" w:type="dxa"/>
          </w:tcPr>
          <w:p>
            <w:pPr>
              <w:spacing w:after="20" w:before="20"/>
            </w:pPr>
            <w:r>
              <w:rPr>
                <w:sz w:val="21"/>
              </w:rPr>
              <w:t>5</w:t>
            </w:r>
          </w:p>
        </w:tc>
      </w:tr>
      <w:tr>
        <w:trPr>
          <w:cantSplit/>
        </w:trPr>
        <w:tc>
          <w:tcPr>
            <w:vAlign w:val="center"/>
            <w:tcW w:w="2466" w:type="dxa"/>
          </w:tcPr>
          <w:p>
            <w:pPr>
              <w:spacing w:after="20" w:before="20"/>
            </w:pPr>
            <w:r>
              <w:rPr>
                <w:sz w:val="21"/>
              </w:rPr>
              <w:t>17–23</w:t>
            </w:r>
          </w:p>
        </w:tc>
        <w:tc>
          <w:tcPr>
            <w:vAlign w:val="center"/>
            <w:tcW w:w="5919" w:type="dxa"/>
          </w:tcPr>
          <w:p>
            <w:pPr>
              <w:spacing w:after="20" w:before="20"/>
            </w:pPr>
            <w:r>
              <w:rPr>
                <w:sz w:val="21"/>
              </w:rPr>
              <w:t>We Do 1</w:t>
            </w:r>
          </w:p>
        </w:tc>
        <w:tc>
          <w:tcPr>
            <w:vAlign w:val="center"/>
            <w:tcW w:w="1481" w:type="dxa"/>
          </w:tcPr>
          <w:p>
            <w:pPr>
              <w:spacing w:after="20" w:before="20"/>
            </w:pPr>
            <w:r>
              <w:rPr>
                <w:sz w:val="21"/>
              </w:rPr>
              <w:t>6</w:t>
            </w:r>
          </w:p>
        </w:tc>
      </w:tr>
      <w:tr>
        <w:trPr>
          <w:cantSplit/>
        </w:trPr>
        <w:tc>
          <w:tcPr>
            <w:vAlign w:val="center"/>
            <w:tcW w:w="2466" w:type="dxa"/>
          </w:tcPr>
          <w:p>
            <w:pPr>
              <w:spacing w:after="20" w:before="20"/>
            </w:pPr>
            <w:r>
              <w:rPr>
                <w:sz w:val="21"/>
              </w:rPr>
              <w:t>23–27</w:t>
            </w:r>
          </w:p>
        </w:tc>
        <w:tc>
          <w:tcPr>
            <w:vAlign w:val="center"/>
            <w:tcW w:w="5919" w:type="dxa"/>
          </w:tcPr>
          <w:p>
            <w:pPr>
              <w:spacing w:after="20" w:before="20"/>
            </w:pPr>
            <w:r>
              <w:rPr>
                <w:sz w:val="21"/>
              </w:rPr>
              <w:t>We Do 1b</w:t>
            </w:r>
          </w:p>
        </w:tc>
        <w:tc>
          <w:tcPr>
            <w:vAlign w:val="center"/>
            <w:tcW w:w="1481" w:type="dxa"/>
          </w:tcPr>
          <w:p>
            <w:pPr>
              <w:spacing w:after="20" w:before="20"/>
            </w:pPr>
            <w:r>
              <w:rPr>
                <w:sz w:val="21"/>
              </w:rPr>
              <w:t>4</w:t>
            </w:r>
          </w:p>
        </w:tc>
      </w:tr>
      <w:tr>
        <w:trPr>
          <w:cantSplit/>
        </w:trPr>
        <w:tc>
          <w:tcPr>
            <w:vAlign w:val="center"/>
            <w:tcW w:w="2466" w:type="dxa"/>
          </w:tcPr>
          <w:p>
            <w:pPr>
              <w:spacing w:after="20" w:before="20"/>
            </w:pPr>
            <w:r>
              <w:rPr>
                <w:sz w:val="21"/>
              </w:rPr>
              <w:t>27–31</w:t>
            </w:r>
          </w:p>
        </w:tc>
        <w:tc>
          <w:tcPr>
            <w:vAlign w:val="center"/>
            <w:tcW w:w="5919" w:type="dxa"/>
          </w:tcPr>
          <w:p>
            <w:pPr>
              <w:spacing w:after="20" w:before="20"/>
            </w:pPr>
            <w:r>
              <w:rPr>
                <w:sz w:val="21"/>
              </w:rPr>
              <w:t>I Do 2</w:t>
            </w:r>
          </w:p>
        </w:tc>
        <w:tc>
          <w:tcPr>
            <w:vAlign w:val="center"/>
            <w:tcW w:w="1481" w:type="dxa"/>
          </w:tcPr>
          <w:p>
            <w:pPr>
              <w:spacing w:after="20" w:before="20"/>
            </w:pPr>
            <w:r>
              <w:rPr>
                <w:sz w:val="21"/>
              </w:rPr>
              <w:t>4</w:t>
            </w:r>
          </w:p>
        </w:tc>
      </w:tr>
      <w:tr>
        <w:trPr>
          <w:cantSplit/>
        </w:trPr>
        <w:tc>
          <w:tcPr>
            <w:vAlign w:val="center"/>
            <w:tcW w:w="2466" w:type="dxa"/>
          </w:tcPr>
          <w:p>
            <w:pPr>
              <w:spacing w:after="20" w:before="20"/>
            </w:pPr>
            <w:r>
              <w:rPr>
                <w:sz w:val="21"/>
              </w:rPr>
              <w:t>31–40</w:t>
            </w:r>
          </w:p>
        </w:tc>
        <w:tc>
          <w:tcPr>
            <w:vAlign w:val="center"/>
            <w:tcW w:w="5919" w:type="dxa"/>
          </w:tcPr>
          <w:p>
            <w:pPr>
              <w:spacing w:after="20" w:before="20"/>
            </w:pPr>
            <w:r>
              <w:rPr>
                <w:sz w:val="21"/>
              </w:rPr>
              <w:t>We Do 2</w:t>
            </w:r>
          </w:p>
        </w:tc>
        <w:tc>
          <w:tcPr>
            <w:vAlign w:val="center"/>
            <w:tcW w:w="1481" w:type="dxa"/>
          </w:tcPr>
          <w:p>
            <w:pPr>
              <w:spacing w:after="20" w:before="20"/>
            </w:pPr>
            <w:r>
              <w:rPr>
                <w:sz w:val="21"/>
              </w:rPr>
              <w:t>9</w:t>
            </w:r>
          </w:p>
        </w:tc>
      </w:tr>
    </w:tbl>
    <w:p>
      <w:pPr>
        <w:pStyle w:val="Small"/>
      </w:pPr>
      <w:r>
        <w:t>Split slide times are added within their original source stages. Printed tasks and adaptations replace activity within these timings; they do not add extra lesson time.</w:t>
      </w:r>
    </w:p>
    <w:p>
      <w:pPr>
        <w:pStyle w:val="Heading1"/>
      </w:pPr>
      <w:r>
        <w:t>Equipment and preparation</w:t>
      </w:r>
    </w:p>
    <w:p>
      <w:pPr>
        <w:numPr>
          <w:ilvl w:val="0"/>
          <w:numId w:val="10"/>
        </w:numPr>
      </w:pPr>
      <w:r>
        <w:t>Adult-prepared card arm model with two card strips and a secured split-pin elbow</w:t>
      </w:r>
    </w:p>
    <w:p>
      <w:pPr>
        <w:numPr>
          <w:ilvl w:val="0"/>
          <w:numId w:val="10"/>
        </w:numPr>
      </w:pPr>
      <w:r>
        <w:t>Two loose strings attached to forearm tabs for gentle opposite-side pulls</w:t>
      </w:r>
    </w:p>
    <w:p>
      <w:pPr>
        <w:numPr>
          <w:ilvl w:val="0"/>
          <w:numId w:val="10"/>
        </w:numPr>
      </w:pPr>
      <w:r>
        <w:t>Biceps/triceps and CONTRACTS/RELAXES labels; pupil sheet</w:t>
      </w:r>
    </w:p>
    <w:p>
      <w:pPr>
        <w:pStyle w:val="Kicker"/>
        <w:pageBreakBefore/>
      </w:pPr>
      <w:r>
        <w:t>TEACHING SEQUENCE</w:t>
      </w:r>
    </w:p>
    <w:p>
      <w:pPr>
        <w:pStyle w:val="Title"/>
      </w:pPr>
      <w:r>
        <w:t>Guide the lesson</w:t>
      </w:r>
    </w:p>
    <w:p>
      <w:pPr>
        <w:pStyle w:val="Subtitle"/>
      </w:pPr>
      <w:r>
        <w:t>Use the source stage times; choose prompts appropriate to the pupil.</w:t>
      </w:r>
    </w:p>
    <w:p>
      <w:pPr>
        <w:pStyle w:val="Heading2"/>
        <w:keepNext/>
      </w:pPr>
      <w:r>
        <w:t>Slide 1: Muscles work in pairs · 1 minute</w:t>
      </w:r>
    </w:p>
    <w:p>
      <w:r>
        <w:t>Monday P3, 11:00-11:40. This one-minute overview is included in the 40-minute lesson.</w:t>
      </w:r>
    </w:p>
    <w:p>
      <w:pPr>
        <w:pStyle w:val="Heading2"/>
        <w:keepNext/>
      </w:pPr>
      <w:r>
        <w:t>Slide 2: Watch a bend and a straighten · 4 minutes</w:t>
      </w:r>
    </w:p>
    <w:p>
      <w:r>
        <w:t>Use a card model, not compulsory body movement. Supported: point to the pull. Standard: predict which muscle acts. Stretch: compare both actions. Retrieve last week’s internal skeleton; do not assume anatomical vocabulary beyond it.</w:t>
      </w:r>
    </w:p>
    <w:p>
      <w:pPr>
        <w:pStyle w:val="Heading2"/>
        <w:keepNext/>
      </w:pPr>
      <w:r>
        <w:t>Slide 3: Three things we will do · 2 minutes</w:t>
      </w:r>
    </w:p>
    <w:p>
      <w:r>
        <w:t>Introduce biceps/triceps, contract/relax with spoken repetition and printed labels. Adult manipulates the model first; pupils do not handle pins or stretched elastic.</w:t>
      </w:r>
    </w:p>
    <w:p>
      <w:pPr>
        <w:pStyle w:val="Heading2"/>
        <w:keepNext/>
      </w:pPr>
      <w:r>
        <w:t>Slide 4: A model helps us see a pull · 5 minutes</w:t>
      </w:r>
    </w:p>
    <w:p>
      <w:r>
        <w:t>Original simplified card-arm diagram, not anatomical scale. Adult demonstrates gentle manual pull with a loose string anchored to a forearm tab. Model is supported at the upper strip. A string stands for the effect of a pulling muscle but does not shorten itself. Keep small split pin fixed; adult makes holes.</w:t>
      </w:r>
    </w:p>
    <w:p>
      <w:pPr>
        <w:pStyle w:val="Heading2"/>
        <w:keepNext/>
      </w:pPr>
      <w:r>
        <w:t>Slide 5: The body has a working pair · 5 minutes</w:t>
      </w:r>
    </w:p>
    <w:p>
      <w:r>
        <w:t>Map card to bone, pin to elbow and string to muscle pull. Contracting muscle develops tension and can shorten to pull; at this level use the simple shortening model. Do not say relaxed muscle is disconnected or that every lowering action requires triceps contraction: gravity can lower an unsupported arm. Teach active movement in this chosen model.</w:t>
      </w:r>
    </w:p>
    <w:p>
      <w:pPr>
        <w:pStyle w:val="Heading2"/>
        <w:keepNext/>
      </w:pPr>
      <w:r>
        <w:t>Slide 6: Choose the pulling muscle · 3 minutes</w:t>
      </w:r>
    </w:p>
    <w:p>
      <w:r>
        <w:t>All pupils commit before teacher confirms. Bend = biceps contracts while triceps relaxes in the simplified elbow model. Offer colour/word labels together so colour is not the only identifier.</w:t>
      </w:r>
    </w:p>
    <w:p>
      <w:pPr>
        <w:pStyle w:val="Kicker"/>
        <w:pageBreakBefore/>
      </w:pPr>
      <w:r>
        <w:t>TEACHING SEQUENCE / CONTINUED</w:t>
      </w:r>
    </w:p>
    <w:p>
      <w:pPr>
        <w:pStyle w:val="Title"/>
      </w:pPr>
      <w:r>
        <w:t>Guide the lesson - continued</w:t>
      </w:r>
    </w:p>
    <w:p>
      <w:pPr>
        <w:pStyle w:val="Subtitle"/>
      </w:pPr>
      <w:r>
        <w:t>Keep the source stage times; pause and check understanding as needed.</w:t>
      </w:r>
    </w:p>
    <w:p>
      <w:pPr>
        <w:pStyle w:val="Heading2"/>
        <w:keepNext/>
      </w:pPr>
      <w:r>
        <w:t>Slide 7: Now swap the action · 3 minutes</w:t>
      </w:r>
    </w:p>
    <w:p>
      <w:r>
        <w:t>Active straighten = triceps contracts, biceps relaxes. Ask pupil to direct adult model movement. Do not require pupil to show their own arm; accept pointing to word labels.</w:t>
      </w:r>
    </w:p>
    <w:p>
      <w:pPr>
        <w:pStyle w:val="Heading2"/>
        <w:keepNext/>
      </w:pPr>
      <w:r>
        <w:t>Slide 8: Model and muscle: compare · 4 minutes</w:t>
      </w:r>
    </w:p>
    <w:p>
      <w:r>
        <w:t>Ask how two different materials represent the same relationship. Both movements need a pulling action; a string cannot push the forearm. A model has limits and is not a complete anatomical explanation.</w:t>
      </w:r>
    </w:p>
    <w:p>
      <w:pPr>
        <w:pStyle w:val="Heading2"/>
        <w:keepNext/>
      </w:pPr>
      <w:r>
        <w:t>Slide 9: Explain both muscle jobs · 4 minutes</w:t>
      </w:r>
    </w:p>
    <w:p>
      <w:r>
        <w:t>Model a full sentence including both muscles rather than “the top one moves.” Accept placing CONTRACTS/RELAXES beside biceps/triceps labels. Adult notes the decision and explanation; photo of the model alone is insufficient.</w:t>
      </w:r>
    </w:p>
    <w:p>
      <w:pPr>
        <w:pStyle w:val="Heading2"/>
        <w:keepNext/>
      </w:pPr>
      <w:r>
        <w:t>Slide 10: True or needs correcting? · 5 minutes</w:t>
      </w:r>
    </w:p>
    <w:p>
      <w:r>
        <w:t>True: muscles pull; biceps/triceps form pair. False: muscles push bones. Add source claim “bones move on their own” as false if time: muscles generate forces moving bones at joints. Preserve response before discussion.</w:t>
      </w:r>
    </w:p>
    <w:p>
      <w:pPr>
        <w:pStyle w:val="Heading2"/>
        <w:keepNext/>
      </w:pPr>
      <w:r>
        <w:t>Slide 11: Direct two moves and keep labels · 4 minutes</w:t>
      </w:r>
    </w:p>
    <w:p>
      <w:r>
        <w:t>Final four minutes completes nine-minute source We Do 2 and exact 40 minutes. Let pupils direct adult movements if fine-motor access is a barrier. Do not begin Wednesday construction early. All elastic-band source ideas are replaced with loose strings under adult control.</w:t>
      </w:r>
    </w:p>
    <w:p>
      <w:pPr>
        <w:pStyle w:val="Kicker"/>
        <w:pageBreakBefore/>
      </w:pPr>
      <w:r>
        <w:t>TEACHER ANSWERS</w:t>
      </w:r>
    </w:p>
    <w:p>
      <w:pPr>
        <w:pStyle w:val="Title"/>
      </w:pPr>
      <w:r>
        <w:t>Worked answers and expected evidence</w:t>
      </w:r>
    </w:p>
    <w:p>
      <w:pPr>
        <w:pStyle w:val="Subtitle"/>
      </w:pPr>
      <w:r>
        <w:t>Use after an attempt. Accept equivalent correct explanations; record support given.</w:t>
      </w:r>
    </w:p>
    <w:p>
      <w:pPr>
        <w:pStyle w:val="Heading2"/>
      </w:pPr>
      <w:r>
        <w:t>1. The model and the body</w:t>
      </w:r>
    </w:p>
    <w:p>
      <w:r>
        <w:t>Card = bone; pivot/join = elbow joint; loose string = effect of muscle pull. A string does not contract by itself, card is not living bone, and model omits many structures.</w:t>
      </w:r>
    </w:p>
    <w:p>
      <w:pPr>
        <w:pStyle w:val="Heading2"/>
      </w:pPr>
      <w:r>
        <w:t>2. Complete the muscle-pair table</w:t>
      </w:r>
    </w:p>
    <w:p>
      <w:r>
        <w:t>Bend: biceps contracts, triceps relaxes. Active straighten: triceps contracts, biceps relaxes. Qualify to model action; gravity can lower an arm without the same active contraction pattern.</w:t>
      </w:r>
    </w:p>
    <w:p>
      <w:pPr>
        <w:pStyle w:val="Heading2"/>
      </w:pPr>
      <w:r>
        <w:t>3. Keep or correct the statement</w:t>
      </w:r>
    </w:p>
    <w:p>
      <w:r>
        <w:t>True; false (muscles pull, opposite-side muscles can pull the other way); true; false (muscle action can move bones at joints).</w:t>
      </w:r>
    </w:p>
    <w:p>
      <w:pPr>
        <w:pStyle w:val="Heading2"/>
      </w:pPr>
      <w:r>
        <w:t>4. Explain one movement</w:t>
      </w:r>
    </w:p>
    <w:p>
      <w:r>
        <w:t>A full pair statement should name both roles correctly for the chosen active movement. Model operation without explanation is not the entire evidence.</w:t>
      </w:r>
    </w:p>
    <w:p>
      <w:pPr>
        <w:pStyle w:val="Heading1"/>
      </w:pPr>
      <w:r>
        <w:t>Misconceptions and corrections</w:t>
      </w:r>
    </w:p>
    <w:p>
      <w:pPr>
        <w:numPr>
          <w:ilvl w:val="0"/>
          <w:numId w:val="11"/>
        </w:numPr>
      </w:pPr>
      <w:r>
        <w:t>Muscles push: they exert pulling force; antagonistic muscles can pull the opposite way.</w:t>
      </w:r>
    </w:p>
    <w:p>
      <w:pPr>
        <w:numPr>
          <w:ilvl w:val="0"/>
          <w:numId w:val="11"/>
        </w:numPr>
      </w:pPr>
      <w:r>
        <w:t>One muscle does both model actions alone: this model uses a pair.</w:t>
      </w:r>
    </w:p>
    <w:p>
      <w:pPr>
        <w:numPr>
          <w:ilvl w:val="0"/>
          <w:numId w:val="11"/>
        </w:numPr>
      </w:pPr>
      <w:r>
        <w:t>String contracts itself: it represents the pulling effect only.</w:t>
      </w:r>
    </w:p>
    <w:p>
      <w:pPr>
        <w:pStyle w:val="Kicker"/>
        <w:pageBreakBefore/>
      </w:pPr>
      <w:r>
        <w:t>PREPARATION / ACCESS / SOURCE RECORD</w:t>
      </w:r>
    </w:p>
    <w:p>
      <w:pPr>
        <w:pStyle w:val="Title"/>
      </w:pPr>
      <w:r>
        <w:t>Teach safely; keep the evidence</w:t>
      </w:r>
    </w:p>
    <w:p>
      <w:pPr>
        <w:pStyle w:val="Subtitle"/>
      </w:pPr>
      <w:r>
        <w:t>The source record identifies this conversion; it is not a claim of publication.</w:t>
      </w:r>
    </w:p>
    <w:p>
      <w:pPr>
        <w:pStyle w:val="Heading1"/>
      </w:pPr>
      <w:r>
        <w:t>Safety</w:t>
      </w:r>
    </w:p>
    <w:p>
      <w:pPr>
        <w:numPr>
          <w:ilvl w:val="0"/>
          <w:numId w:val="12"/>
        </w:numPr>
      </w:pPr>
      <w:r>
        <w:t>Adult cuts card, makes holes and secures the split pin.</w:t>
      </w:r>
    </w:p>
    <w:p>
      <w:pPr>
        <w:numPr>
          <w:ilvl w:val="0"/>
          <w:numId w:val="12"/>
        </w:numPr>
      </w:pPr>
      <w:r>
        <w:t>Use loose strings, not stretched elastic; pull gently with the model on a table.</w:t>
      </w:r>
    </w:p>
    <w:p>
      <w:pPr>
        <w:numPr>
          <w:ilvl w:val="0"/>
          <w:numId w:val="12"/>
        </w:numPr>
      </w:pPr>
      <w:r>
        <w:t>No string around fingers, neck or body; no pupil must move or expose an arm.</w:t>
      </w:r>
    </w:p>
    <w:p>
      <w:pPr>
        <w:numPr>
          <w:ilvl w:val="0"/>
          <w:numId w:val="12"/>
        </w:numPr>
      </w:pPr>
      <w:r>
        <w:t>Adult-operated model and verbal direction are equally valid science routes.</w:t>
      </w:r>
    </w:p>
    <w:p>
      <w:pPr>
        <w:pStyle w:val="Heading1"/>
      </w:pPr>
      <w:r>
        <w:t>Access and offline alternatives</w:t>
      </w:r>
    </w:p>
    <w:p>
      <w:pPr>
        <w:numPr>
          <w:ilvl w:val="0"/>
          <w:numId w:val="13"/>
        </w:numPr>
      </w:pPr>
      <w:r>
        <w:t>Point to the named muscle and CONTRACTS/RELAXES label while adult operates.</w:t>
      </w:r>
    </w:p>
    <w:p>
      <w:pPr>
        <w:numPr>
          <w:ilvl w:val="0"/>
          <w:numId w:val="13"/>
        </w:numPr>
      </w:pPr>
      <w:r>
        <w:t>Explain both roles during bend and active straighten.</w:t>
      </w:r>
    </w:p>
    <w:p>
      <w:pPr>
        <w:numPr>
          <w:ilvl w:val="0"/>
          <w:numId w:val="13"/>
        </w:numPr>
      </w:pPr>
      <w:r>
        <w:t>Explain one limitation of the model and distinguish active straighten from gravity lowering.</w:t>
      </w:r>
    </w:p>
    <w:p>
      <w:pPr>
        <w:numPr>
          <w:ilvl w:val="0"/>
          <w:numId w:val="13"/>
        </w:numPr>
      </w:pPr>
      <w:r>
        <w:t>Adult receives one real pupil observation or access request, acts on a feasible change and explains limits. A learner can pass privately.</w:t>
      </w:r>
    </w:p>
    <w:p>
      <w:pPr>
        <w:pStyle w:val="Heading1"/>
      </w:pPr>
      <w:r>
        <w:t>Close and continue</w:t>
      </w:r>
    </w:p>
    <w:p>
      <w:r>
        <w:t>Finish at 40 minutes. Keep named cards and records for Wednesday Week 4; do not start the workshop early.</w:t>
      </w:r>
    </w:p>
    <w:p>
      <w:pPr>
        <w:pStyle w:val="Heading1"/>
      </w:pPr>
      <w:r>
        <w:t>Source and revision</w:t>
      </w:r>
    </w:p>
    <w:p>
      <w:pPr>
        <w:pStyle w:val="Small"/>
      </w:pPr>
      <w:r>
        <w:t>Repository: MattRoper1977/Lessons</w:t>
      </w:r>
    </w:p>
    <w:p>
      <w:pPr>
        <w:pStyle w:val="Small"/>
      </w:pPr>
      <w:r>
        <w:t>Source path: Science_Teesside/Build/SCI_B_W4_Muscle_Pairs.html</w:t>
      </w:r>
    </w:p>
    <w:p>
      <w:pPr>
        <w:pStyle w:val="Small"/>
      </w:pPr>
      <w:r>
        <w:t>Source file Git blob: 25c277b919c5fcc62a4891abf2f7cbecf4999396</w:t>
      </w:r>
    </w:p>
    <w:p>
      <w:pPr>
        <w:pStyle w:val="Small"/>
      </w:pPr>
      <w:r>
        <w:t>Current source link (mutable): https://github.com/MattRoper1977/Lessons/blob/main/Science_Teesside/Build/SCI_B_W4_Muscle_Pairs.html</w:t>
      </w:r>
    </w:p>
    <w:p>
      <w:pPr>
        <w:pStyle w:val="Small"/>
      </w:pPr>
      <w:r>
        <w:t>Document revision: 2026-09-06</w:t>
      </w:r>
    </w:p>
    <w:p>
      <w:pPr>
        <w:pStyle w:val="Heading2"/>
      </w:pPr>
      <w:r>
        <w:t>Uploaded supporting sources</w:t>
      </w:r>
    </w:p>
    <w:p>
      <w:pPr>
        <w:numPr>
          <w:ilvl w:val="0"/>
          <w:numId w:val="14"/>
        </w:numPr>
      </w:pPr>
      <w:r>
        <w:t>White Rose Education, Year 3 Autumn Block 2 (2024): Movement, steps 1 Joints and 2 How we move. Public materials use original text and native diagrams; the accepted website string model replaces source stretched elastic.</w:t>
      </w:r>
    </w:p>
    <w:p>
      <w:pPr>
        <w:pStyle w:val="Heading2"/>
      </w:pPr>
      <w:r>
        <w:t>Recorded conversion changes</w:t>
      </w:r>
    </w:p>
    <w:p>
      <w:pPr>
        <w:numPr>
          <w:ilvl w:val="0"/>
          <w:numId w:val="15"/>
        </w:numPr>
      </w:pPr>
      <w:r>
        <w:t>Original editable classroom text, scientific diagrams and pupil tasks follow the current weekly HTML, not the older retained A/B teaching version.</w:t>
      </w:r>
    </w:p>
    <w:p>
      <w:pPr>
        <w:numPr>
          <w:ilvl w:val="0"/>
          <w:numId w:val="15"/>
        </w:numPr>
      </w:pPr>
      <w:r>
        <w:t>White Rose uploads inform concepts and task choices; no publisher-owned slide, photograph, worksheet page or video is redistributed in these public files.</w:t>
      </w:r>
    </w:p>
    <w:p>
      <w:pPr>
        <w:numPr>
          <w:ilvl w:val="0"/>
          <w:numId w:val="15"/>
        </w:numPr>
      </w:pPr>
      <w:r>
        <w:t>Website animations and drag-and-drop controls become teacher-led reveals, movable paper labels and accessible spoken/drawn responses. No internet connection or video is needed.</w:t>
      </w:r>
    </w:p>
    <w:p>
      <w:pPr>
        <w:numPr>
          <w:ilvl w:val="0"/>
          <w:numId w:val="15"/>
        </w:numPr>
      </w:pPr>
      <w:r>
        <w:t>Autumn 1 Weeks 1-2 were baseline assessment. This is a Weeks 3-7 teaching pack, not a claim that baseline assessments or the separate Week 8 enrichment are included.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02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"/>
    </w:pPr>
    <w:r>
      <w:t xml:space="preserve">Autumn 1 · Week 4 · Lesson A  |  Teacher materials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Kicker"/>
    </w:pPr>
    <w:r>
      <w:drawing>
        <wp:inline xmlns:a="http://schemas.openxmlformats.org/drawingml/2006/main" xmlns:pic="http://schemas.openxmlformats.org/drawingml/2006/picture">
          <wp:extent cx="270000" cy="27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pproved-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0000" cy="270000"/>
                  </a:xfrm>
                  <a:prstGeom prst="rect"/>
                </pic:spPr>
              </pic:pic>
            </a:graphicData>
          </a:graphic>
        </wp:inline>
      </w:drawing>
    </w:r>
    <w:r>
      <w:t xml:space="preserve">  MADE BY MATT  /  BUILD SCIENCE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  <w:pPr>
        <w:ind w:left="360" w:hanging="180"/>
      </w:pPr>
      <w:rPr>
        <w:rFonts w:ascii="Arial" w:hAnsi="Arial"/>
      </w:rPr>
    </w:lvl>
  </w:abstractNum>
  <w:num w:numId="10">
    <w:abstractNumId w:val="9"/>
  </w:num>
  <w:abstractNum w:abstractNumId="10">
    <w:lvl w:ilvl="0">
      <w:start w:val="1"/>
      <w:numFmt w:val="bullet"/>
      <w:lvlText w:val="•"/>
      <w:lvlJc w:val="left"/>
      <w:pPr>
        <w:ind w:left="360" w:hanging="180"/>
      </w:pPr>
      <w:rPr>
        <w:rFonts w:ascii="Arial" w:hAnsi="Arial"/>
      </w:rPr>
    </w:lvl>
  </w:abstractNum>
  <w:num w:numId="11">
    <w:abstractNumId w:val="10"/>
  </w:num>
  <w:abstractNum w:abstractNumId="11">
    <w:lvl w:ilvl="0">
      <w:start w:val="1"/>
      <w:numFmt w:val="bullet"/>
      <w:lvlText w:val="•"/>
      <w:lvlJc w:val="left"/>
      <w:pPr>
        <w:ind w:left="360" w:hanging="180"/>
      </w:pPr>
      <w:rPr>
        <w:rFonts w:ascii="Arial" w:hAnsi="Arial"/>
      </w:rPr>
    </w:lvl>
  </w:abstractNum>
  <w:num w:numId="12">
    <w:abstractNumId w:val="11"/>
  </w:num>
  <w:abstractNum w:abstractNumId="12">
    <w:lvl w:ilvl="0">
      <w:start w:val="1"/>
      <w:numFmt w:val="bullet"/>
      <w:lvlText w:val="•"/>
      <w:lvlJc w:val="left"/>
      <w:pPr>
        <w:ind w:left="360" w:hanging="180"/>
      </w:pPr>
      <w:rPr>
        <w:rFonts w:ascii="Arial" w:hAnsi="Arial"/>
      </w:rPr>
    </w:lvl>
  </w:abstractNum>
  <w:num w:numId="13">
    <w:abstractNumId w:val="12"/>
  </w:num>
  <w:abstractNum w:abstractNumId="13">
    <w:lvl w:ilvl="0">
      <w:start w:val="1"/>
      <w:numFmt w:val="bullet"/>
      <w:lvlText w:val="•"/>
      <w:lvlJc w:val="left"/>
      <w:pPr>
        <w:ind w:left="360" w:hanging="180"/>
      </w:pPr>
      <w:rPr>
        <w:rFonts w:ascii="Arial" w:hAnsi="Arial"/>
      </w:rPr>
    </w:lvl>
  </w:abstractNum>
  <w:num w:numId="14">
    <w:abstractNumId w:val="13"/>
  </w:num>
  <w:abstractNum w:abstractNumId="14">
    <w:lvl w:ilvl="0">
      <w:start w:val="1"/>
      <w:numFmt w:val="bullet"/>
      <w:lvlText w:val="•"/>
      <w:lvlJc w:val="left"/>
      <w:pPr>
        <w:ind w:left="360" w:hanging="180"/>
      </w:pPr>
      <w:rPr>
        <w:rFonts w:ascii="Arial" w:hAnsi="Arial"/>
      </w:rPr>
    </w:lvl>
  </w:abstract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50" w:lineRule="auto"/>
    </w:pPr>
    <w:rPr>
      <w:rFonts w:ascii="Arial" w:hAnsi="Arial" w:eastAsia="Arial" w:cs="Arial"/>
      <w:b w:val="0"/>
      <w:color w:val="25343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 w:line="250" w:lineRule="auto"/>
      <w:outlineLvl w:val="0"/>
    </w:pPr>
    <w:rPr>
      <w:rFonts w:ascii="Arial" w:hAnsi="Arial" w:eastAsia="Arial" w:cs="Arial"/>
      <w:b/>
      <w:bCs/>
      <w:color w:val="28675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120" w:line="250" w:lineRule="auto"/>
      <w:outlineLvl w:val="1"/>
    </w:pPr>
    <w:rPr>
      <w:rFonts w:ascii="Arial" w:hAnsi="Arial" w:eastAsia="Arial" w:cs="Arial"/>
      <w:b/>
      <w:bCs/>
      <w:color w:val="17334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50" w:lineRule="auto" w:before="0"/>
      <w:contextualSpacing/>
    </w:pPr>
    <w:rPr>
      <w:rFonts w:ascii="Arial" w:hAnsi="Arial" w:eastAsia="Arial" w:cs="Arial"/>
      <w:b w:val="0"/>
      <w:color w:val="17334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20" w:line="250" w:lineRule="auto"/>
    </w:pPr>
    <w:rPr>
      <w:rFonts w:ascii="Arial" w:hAnsi="Arial" w:eastAsia="Arial" w:cs="Arial"/>
      <w:b w:val="0"/>
      <w:i/>
      <w:iCs/>
      <w:color w:val="53626A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icker">
    <w:name w:val="Kicker"/>
    <w:pPr>
      <w:spacing w:before="0" w:after="120" w:line="250" w:lineRule="auto"/>
    </w:pPr>
    <w:rPr>
      <w:rFonts w:ascii="Arial" w:hAnsi="Arial" w:eastAsia="Arial" w:cs="Arial"/>
      <w:b/>
      <w:color w:val="28675C"/>
      <w:sz w:val="18"/>
    </w:rPr>
  </w:style>
  <w:style w:type="paragraph" w:customStyle="1" w:styleId="Small">
    <w:name w:val="Small"/>
    <w:pPr>
      <w:spacing w:before="0" w:after="120" w:line="250" w:lineRule="auto"/>
    </w:pPr>
    <w:rPr>
      <w:rFonts w:ascii="Arial" w:hAnsi="Arial" w:eastAsia="Arial" w:cs="Arial"/>
      <w:b w:val="0"/>
      <w:color w:val="53626A"/>
      <w:sz w:val="18"/>
    </w:rPr>
  </w:style>
  <w:style w:type="paragraph" w:customStyle="1" w:styleId="ResponseLine">
    <w:name w:val="ResponseLine"/>
    <w:pPr>
      <w:spacing w:before="0" w:after="0" w:line="440" w:lineRule="exact"/>
    </w:pPr>
    <w:rPr>
      <w:rFonts w:ascii="Arial" w:hAnsi="Arial" w:eastAsia="Arial" w:cs="Arial"/>
      <w:b w:val="0"/>
      <w:color w:val="25343E"/>
      <w:sz w:val="24"/>
    </w:rPr>
  </w:style>
  <w:style w:type="paragraph" w:customStyle="1" w:styleId="Callout">
    <w:name w:val="Callout"/>
    <w:pPr>
      <w:spacing w:before="120" w:after="160" w:line="250" w:lineRule="auto"/>
    </w:pPr>
    <w:rPr>
      <w:rFonts w:ascii="Arial" w:hAnsi="Arial" w:eastAsia="Arial" w:cs="Arial"/>
      <w:b w:val="0"/>
      <w:color w:val="25343E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Muscles work in pairs - BUILD_Science_Autumn1_W4A_Muscle_Pairs - Teacher</dc:title>
  <dc:subject>Autumn 1 · Week 4 · Lesson A</dc:subject>
  <dc:creator>Made by Matt</dc:creator>
  <cp:keywords>BUILD, Science, Muscles work in pairs, Autumn 1, Week 4, Lesson 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